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5" w:rsidRPr="00FE0342" w:rsidRDefault="00EB4435" w:rsidP="00A367A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54487729"/>
      <w:bookmarkStart w:id="1" w:name="_Toc385846342"/>
      <w:r w:rsidRPr="00FE0342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EB4435" w:rsidRPr="00FE0342" w:rsidRDefault="00EB4435" w:rsidP="00A3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округа</w:t>
      </w:r>
    </w:p>
    <w:p w:rsidR="00EB4435" w:rsidRPr="00FE0342" w:rsidRDefault="00EB4435" w:rsidP="00A3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 xml:space="preserve">город Ханты-Мансийск о достигнутых значениях показателей </w:t>
      </w:r>
      <w:proofErr w:type="gramStart"/>
      <w:r w:rsidRPr="00FE034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B4435" w:rsidRPr="00FE0342" w:rsidRDefault="00EB4435" w:rsidP="00A3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органов местного самоуправления за 201</w:t>
      </w:r>
      <w:r w:rsidR="001B066B" w:rsidRPr="00FE0342">
        <w:rPr>
          <w:rFonts w:ascii="Times New Roman" w:hAnsi="Times New Roman" w:cs="Times New Roman"/>
          <w:b/>
          <w:sz w:val="28"/>
          <w:szCs w:val="28"/>
        </w:rPr>
        <w:t>5</w:t>
      </w:r>
      <w:r w:rsidRPr="00FE0342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EB4435" w:rsidRPr="00FE0342" w:rsidRDefault="00EB4435" w:rsidP="00A367A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B4435" w:rsidRPr="00FC133B" w:rsidRDefault="00EB4435" w:rsidP="00A367A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</w:pPr>
    </w:p>
    <w:p w:rsidR="001D38A9" w:rsidRDefault="001D38A9" w:rsidP="00A367A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2" w:name="_Toc416735660"/>
      <w:r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</w:t>
      </w:r>
      <w:r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  <w:t xml:space="preserve">Основные </w:t>
      </w:r>
      <w:r w:rsidR="0079738C"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итоги социально-экономического развития</w:t>
      </w:r>
      <w:r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города Ханты-Мансийска за 201</w:t>
      </w:r>
      <w:r w:rsidR="0079738C"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7973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  <w:bookmarkEnd w:id="2"/>
    </w:p>
    <w:p w:rsidR="0079738C" w:rsidRPr="0079738C" w:rsidRDefault="0079738C" w:rsidP="00A367A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D38A9" w:rsidRPr="0079738C" w:rsidRDefault="0079738C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социально-экономического положения города Ханты-Мансийска                      в 2015 году свидетельствуют в целом о сохранении текущей финансовой, экономической и социальной стабильности, развитии инвестиционных условий для малого и среднего предпринимательства.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D38A9"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</w:t>
      </w:r>
      <w:r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1D38A9"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достигнуты следующие основные результаты показателей социально-экономического развития (по сравнению с 201</w:t>
      </w:r>
      <w:r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D38A9" w:rsidRPr="007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годом): </w:t>
      </w:r>
    </w:p>
    <w:p w:rsidR="001D38A9" w:rsidRPr="0048418E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инвестиций в основной капитал по всем отраслям экономики увеличился на </w:t>
      </w:r>
      <w:r w:rsidR="00993AC0"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2,7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D38A9" w:rsidRPr="0048418E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оборот розничной торговли увеличился на </w:t>
      </w:r>
      <w:r w:rsidR="0048418E"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5,8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1D38A9" w:rsidRPr="0048418E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платных услуг увеличился на </w:t>
      </w:r>
      <w:r w:rsidR="0048418E"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D38A9" w:rsidRPr="0048418E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среднемесячная заработная плата работников по городу выросла на </w:t>
      </w:r>
      <w:r w:rsidR="0048418E"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D38A9" w:rsidRPr="0048418E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среднедушевые денежные доходы населения выросли на </w:t>
      </w:r>
      <w:r w:rsidR="0048418E"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48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48418E" w:rsidRPr="00B168AE" w:rsidRDefault="00E5735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18E" w:rsidRPr="00B1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промышленного производства снизился  на 12,3%;</w:t>
      </w:r>
    </w:p>
    <w:p w:rsidR="001D38A9" w:rsidRPr="000B0140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Среднегодовая численность населения увеличилась на </w:t>
      </w:r>
      <w:r w:rsidR="000F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B16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численность экономически активного </w:t>
      </w:r>
      <w:r w:rsidRPr="000B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увеличилась на 2%</w:t>
      </w:r>
      <w:r w:rsidR="000B0140" w:rsidRPr="000B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безработицы составил 0,</w:t>
      </w:r>
      <w:r w:rsidR="000B0140" w:rsidRPr="000B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0B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D38A9" w:rsidRPr="00FC133B" w:rsidRDefault="001D38A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D38A9" w:rsidRPr="0030254B" w:rsidRDefault="001D38A9" w:rsidP="00A367A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C51049" w:rsidRDefault="00C51049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4B" w:rsidRPr="0030254B" w:rsidRDefault="0030254B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 входит в пятерку самых крупных по численности населения муниципальных образований Ханты-Мансийского автономного               округа - Югры. Среднегодовая численность населения города за 2015 год составила 96</w:t>
      </w:r>
      <w:r w:rsidR="000F4A28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увеличившись по сравнению с 2014 годом на </w:t>
      </w:r>
      <w:r w:rsidR="000F4A28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%                  (2014 год - 94423 чел.), увеличение численности населения происходит за счет естественного и миграционного прироста.</w:t>
      </w:r>
    </w:p>
    <w:p w:rsidR="0030254B" w:rsidRPr="0030254B" w:rsidRDefault="0030254B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демографических процессов на протяжении последних лет характеризуется тенденцией устойчивого роста</w:t>
      </w:r>
      <w:r w:rsidR="008A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4B" w:rsidRDefault="0030254B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естественный прирост населения города складывается за счет сочетания относ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высокой рождаемости - 1796 чел. (2014 год - 1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739 чел.) и сравнительно низкой смертности - 560 чел. (2014 год - 529 чел.). В </w:t>
      </w:r>
      <w:proofErr w:type="gramStart"/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превышения рождаемости над смертностью более чем в три раза естественный прирост н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в 2015 году составил 1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 чел., что на 2,1% больше                          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2014 году (1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чел.).</w:t>
      </w:r>
    </w:p>
    <w:p w:rsidR="0030254B" w:rsidRDefault="0030254B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E5" w:rsidRPr="0030254B" w:rsidRDefault="008A49E5" w:rsidP="0030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4B" w:rsidRPr="0030254B" w:rsidRDefault="0030254B" w:rsidP="0030254B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1</w:t>
      </w:r>
    </w:p>
    <w:p w:rsidR="0030254B" w:rsidRPr="0030254B" w:rsidRDefault="0030254B" w:rsidP="003025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демографической численности, чел</w:t>
      </w:r>
    </w:p>
    <w:p w:rsidR="0030254B" w:rsidRPr="0030254B" w:rsidRDefault="0030254B" w:rsidP="0030254B">
      <w:pPr>
        <w:widowControl w:val="0"/>
        <w:spacing w:after="0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58B48ED" wp14:editId="4B796CFC">
            <wp:extent cx="5695950" cy="2486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54B" w:rsidRPr="0030254B" w:rsidRDefault="0030254B" w:rsidP="0030254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4B" w:rsidRPr="0030254B" w:rsidRDefault="0030254B" w:rsidP="003025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прирост нас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за 2015 год составил 1</w:t>
      </w:r>
      <w:r w:rsidRPr="0030254B">
        <w:rPr>
          <w:rFonts w:ascii="Times New Roman" w:eastAsia="Times New Roman" w:hAnsi="Times New Roman" w:cs="Times New Roman"/>
          <w:sz w:val="28"/>
          <w:szCs w:val="28"/>
          <w:lang w:eastAsia="ru-RU"/>
        </w:rPr>
        <w:t>261 чел.                      В отличие от предыдущих лет он сформировался в основном за счет перемещения                          в пределах Российской Федерации (Тюменская область, Курганская область, Свердловская область) и в меньшей мере международной миграции (страны СНГ).</w:t>
      </w:r>
    </w:p>
    <w:p w:rsidR="00C51049" w:rsidRPr="00FC133B" w:rsidRDefault="00C51049" w:rsidP="00A3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38A9" w:rsidRPr="00E21BB8" w:rsidRDefault="001D38A9" w:rsidP="00A367A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Промышленность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промышленной продукции по крупным и средним предприятия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города за 2015 год составил 9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113,9 млн</w:t>
      </w:r>
      <w:r w:rsidR="0013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87,7% к 2014 году                        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t>(10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395,7 млн</w:t>
      </w:r>
      <w:r w:rsidR="0013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Исключение из </w:t>
      </w:r>
      <w:proofErr w:type="spellStart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статотчетности</w:t>
      </w:r>
      <w:proofErr w:type="spellEnd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сведений                                по территориально-обособленным предприятиям, осуществляющим деятельность в сфере обработки древесины и производства изделий из дерева, которые отнесены по фактическому месту производства продукции (город Советский, город </w:t>
      </w:r>
      <w:proofErr w:type="spellStart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повлияло на уменьшение объема производства.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продукция представлена четырьмя разделами экономической классификации основных отраслей деятельности</w:t>
      </w:r>
      <w:r w:rsidR="008A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электроэнергии, газа и воды;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производства;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рыболовство, рыбоводство;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прочих услуг.</w:t>
      </w:r>
    </w:p>
    <w:p w:rsidR="008A49E5" w:rsidRPr="008A49E5" w:rsidRDefault="008A49E5" w:rsidP="008A49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промышленном производстве занимают предприятия по производству, передаче и распределению электроэнергии, газа и воды - 93,1% (2014 год - 77,2%). </w:t>
      </w:r>
    </w:p>
    <w:p w:rsidR="00E21BB8" w:rsidRDefault="008A49E5" w:rsidP="008A49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производства за 2015 год по виду экономической деятельности «Производство и распределение электроэнергии газа и воды» составили                    8497,9 млн. рублей, или 105,0% к 2014 году (8090,7 млн. рублей).</w:t>
      </w:r>
    </w:p>
    <w:p w:rsidR="00C51049" w:rsidRDefault="00C51049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9" w:rsidRDefault="00C51049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49" w:rsidRDefault="00C51049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8" w:rsidRDefault="00E21BB8" w:rsidP="00677B3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Рис.2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3D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C56E4EE" wp14:editId="7C9928B8">
            <wp:extent cx="5660975" cy="2728569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049" w:rsidRDefault="00C51049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 величине доля от всего объема промышленного производства приходится на предприятия обрабатывающей отрасли - 5,6% (2014 год - 21,6%). 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включают: производство пищевых продуктов; целлюлозно-бумажное производство; издательская и полиграфическая деятельность; производство прочих неметаллических минеральных продуктов (производство бетона, плитки тротуарной и кирпича); текстильное и швейное производство (ремонт и пошив изделий по индивидуальным заказам, оказание услуг по ремонту бытовой техники). Объем отгруженных товаров, выполненных работ и услуг в этой сфере за 2015 год составил 501,1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22,9%                    к 2014 году (2 184,6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E21BB8" w:rsidRPr="00E21BB8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предприятий по виду деятельности «Рыболовство, рыбоводство»                         за 2015 год составила 1,1% (2014 год - 0,3%). Объемы производства и оказанных услуг составили 96,5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286% к 2014 году (33,7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Представителем отрасли «Рыболовство, рыбоводство» среди крупных и средних предприятий является ОАО «Рыбокомбинат «Ханты-Мансийский», доля которого в общем объеме промышленного производства за 2015 год составила 0,3% 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(2014 год - 0,2%). Объемы производства и оказанных услуг составили </w:t>
      </w:r>
      <w:r w:rsidR="00C4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30,8 млн</w:t>
      </w:r>
      <w:r w:rsid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140,0% к 2014 году (22,0 </w:t>
      </w:r>
      <w:proofErr w:type="gramStart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1D38A9" w:rsidRPr="00FC133B" w:rsidRDefault="00E21BB8" w:rsidP="00E21B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Вылов рыбы увеличился на 29,4% и составил 549,4 тонны (2014 год -                424,5 тонны), произведено 1008,9 тонны </w:t>
      </w:r>
      <w:proofErr w:type="spellStart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рыбопродукции</w:t>
      </w:r>
      <w:proofErr w:type="spellEnd"/>
      <w:r w:rsidRPr="00E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превышает показатели аналогичного периода 2014 года на 32,0%.</w:t>
      </w:r>
    </w:p>
    <w:p w:rsidR="001D38A9" w:rsidRPr="00FC133B" w:rsidRDefault="001D38A9" w:rsidP="00A367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38A9" w:rsidRPr="00C51049" w:rsidRDefault="001D38A9" w:rsidP="00A367A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Объем инвестиций в основной капитал по всем отраслям экономики города в 2015 году составил 25724,4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рублей, или 102,7% к 2014 году                          (25049,3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рублей). 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Основную долю в структуре инвестиций по источникам финансирования занимают привлеченные средства - 60,9% или 15666,2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 (2014 год - 74,6% или 18686,8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рублей). 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Собственные средства предприятий - 39,1% или 10058,2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              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(2014 год - 25,4% или 6362,5 млн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рублей).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По функциональному назначению инвестиции в основной капитал направлены: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строительство жилья - 31,4% (2014 год - 24,7%);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строительство зданий и сооружений - 38,5% (2014 год - 38,9%);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приобретение машин и оборудования - 20,5% (2014 год - 30,7%);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транспортные средства - 4,9% (2014 год - 2,2%); 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прочие инвестиции - 4,7% (2014 год - 3,5%).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Рис. 3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ABC05C5" wp14:editId="3A3611D6">
            <wp:extent cx="6299835" cy="3444925"/>
            <wp:effectExtent l="0" t="0" r="5715" b="31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5265" w:rsidRDefault="00C45265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В целях повышения роли предпринимательства в экономике города              Ханты-Мансийска, обеспечения продовольственной безопасности, повышение инвестиционной активности на территории города Ханты-Мансийска и создания условий труда, обеспечивающих сохранение жизни и здоровья работников                      в процессе трудовой деятельности, Администрацией города Ханты-Мансийска                в 2015 году была утверждена программа «Развитие отдельных секторов экономики города Ханты-Мансийска» на 2016-2020 годы.</w:t>
      </w:r>
      <w:proofErr w:type="gramEnd"/>
    </w:p>
    <w:p w:rsidR="001D38A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1049">
        <w:rPr>
          <w:rFonts w:ascii="Times New Roman" w:eastAsia="Calibri" w:hAnsi="Times New Roman" w:cs="Times New Roman"/>
          <w:sz w:val="28"/>
          <w:szCs w:val="20"/>
          <w:lang w:eastAsia="ru-RU"/>
        </w:rPr>
        <w:t>В 2015 году введено в эксплуатацию 140 тыс. кв. м жилой площади, в том числе 19,9 тыс. кв. м индивидуального жилья.</w:t>
      </w:r>
    </w:p>
    <w:p w:rsidR="00C51049" w:rsidRPr="00FC133B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highlight w:val="yellow"/>
          <w:lang w:eastAsia="ru-RU"/>
        </w:rPr>
      </w:pPr>
    </w:p>
    <w:p w:rsidR="001D38A9" w:rsidRPr="00C51049" w:rsidRDefault="009218C9" w:rsidP="00A367A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38A9" w:rsidRPr="00C5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 населения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 на рынке труда города Ханты-Мансийска за последние пять лет характеризуется стабильностью. За период с 2011 года по 2015 год показатели, характеризующие развитие рынка труда, имеют положительную динамику: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экономически активного населения увеличилась на 8,6%;</w:t>
      </w:r>
    </w:p>
    <w:p w:rsid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среднесписочная численность работников увеличилась на 1,8%;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безработных граждан, стоящих на регистрационном учете                    </w:t>
      </w: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центре занятости населения снизилась с 230 чел. до 219 чел.;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безработицы снизился с 0,43% до 0,38%;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предприятиями и организациями города создано 3264 рабочих места.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экономически активного населения на 01.01.2016 составила    57218 чел., или 58,5% от общей численности населения города                             Ханты-Мансийска, из их числа 56999 чел., или 99,6% от числа экономически активного населения, были заняты в экономике (2014 год - 56031 чел.).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Среднесписочная численность работников, не относящихся к субъектам малого предпринимательства, за 2015 год составила 39442 чел. или 96,6%                      к 2014 году (40849 чел.).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01.01.2016 число граждан, обратившихся за содействием           в поиске подходящей работы, составило 2240 чел. (работающие граждане, граждане, желающие сменить место работы, выпускники организаций профессионального образования, граждане предпенсионного возраста, инвалиды, многодетные родители, родители, воспитывающие детей-инвалидов и др.),                     из них 820 чел. (или 40,0%) трудоустроены.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01.01.2016 численность безработных граждан, стоящих           на регистрационном учете в центре занятости населения, составила 219 чел. 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Безработные, состоящие на учете в органах службы занятости населения,              в своем большинстве, представляют категории населения, испытывающие постоянные трудности в трудоустройстве.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 составил 0,38% от экономически активного населения.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Сокращение потребности работодателей в работниках, заявленной в службу занятости населения, оказало отрицательное влияние на коэффициент напряженности. В анализируемом </w:t>
      </w:r>
      <w:proofErr w:type="gramStart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</w:t>
      </w:r>
      <w:proofErr w:type="gramEnd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напряженности составил 0,61 человека на 1 свободное рабочее место.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минимизации сезонных колебаний и снижению напряженности на рынке труда способствовала реализация мероприятий программы Ханты-Мансийского автономного округа - Югры «Содействие занятости населения на 2016-2020 годы» (далее - Программа), в которой сохранены стимулирующие меры государственной поддержки работодателям и отдельным категориям граждан, а также мероприятия во исполнение поручений Президента Российской Федерации:</w:t>
      </w:r>
      <w:proofErr w:type="gramEnd"/>
    </w:p>
    <w:p w:rsidR="00134E43" w:rsidRPr="00134E43" w:rsidRDefault="00DE264A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E43"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 трудоустройстве инвалидов, одиноких родителей, многодетных родителей и родителей, воспитывающих детей-инвалидов, женщин, находящихся в отпуске по уходу за ребенком в возрасте до 3-х лет;</w:t>
      </w:r>
    </w:p>
    <w:p w:rsidR="00134E43" w:rsidRPr="00134E43" w:rsidRDefault="00DE264A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E43"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занятости граждан предпенсионного и пенсионного возраста;</w:t>
      </w:r>
    </w:p>
    <w:p w:rsidR="00134E43" w:rsidRPr="00134E43" w:rsidRDefault="00DE264A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E43"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временному трудоустройству лиц, освободившихся из мест лишения свободы, и лиц, осужденных к исполнению наказания в виде лишения свободы и др.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на реализацию политики в сфере содействия занятости населения и снижению напряженности на рынке труда в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Программы направлено 12</w:t>
      </w: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118,6 тыс. рублей.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уделялось категориям граждан, нуждающихся                             </w:t>
      </w: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дополнительных мерах по трудоустройству. В </w:t>
      </w:r>
      <w:proofErr w:type="gramStart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заключенными договорами на созданные и специально оборудованные рабочие места трудоустроено 10 инвалидов при плане 9 граждан данной категории.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проводимых мероприятий Программы были трудоустроены граждане, испытывающие трудности в поиске работы, несовершеннолетние граждане в возрасте от 14 до 18 лет, в том числе подростки, оказавшиеся                         в трудной жизненной ситуации, а также выпускники профессиональных образовательных организаций и образовательных организаций высшего образования в возрасте до 25 лет.</w:t>
      </w:r>
      <w:proofErr w:type="gramEnd"/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Заявленная работодателями в службу занятости населения потребность                  в работниках по состоянию на 01.01.2016 составила 359 вакансий (на 01.01.2015 - 488 вакансий), из них для замещения иностранных работников - 1 единица                   или 0,3% от общего количества вакансий.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видам экономической деятельности наибольшее число вакансий заявлено в сферах: операции с недвижимым имуществом; аренда                                      и предоставление услуг (35,4%); здравоохранение и предоставление услуг (33,7%); образование (7,5%); транспорт и связь (5,8%); добыча полезных ископаемых (4,6%); предоставление прочих коммунальных, социальных                          и персональных услуг (3,9%); производство и распределение электроэнергии, газа и воды (3,3%); государственное управление и обеспечение военной области (1,4%); финансовая деятельность (1,4%); оптовая и розничная торговля, ремонт автотранспортных средств, мотоциклов, бытовых изделий и предметов личного использования (1,1%); гостиницы и рестораны (0,6%).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потребность в рабочей силе по специальностям,                                      не востребованным либо с отсутствием таких специалистов в городе,                                в соответствии с миграционным законодательством привлекается иностранная рабочая сила, прибывшая в Российскую Федерацию в порядке, требующем получение визы, в соответствии с заявками, поданными работодателями.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по городу Ханты-Мансийску установлена квота на выдачу иностранным гражданам, прибывшим в Российскую Федерацию в порядке, требующем получение визы, 444 разрешения на работу. Всего за 2015 год организациями города использована квота в количестве 20 единиц, что составляет 4,5% от утвержденной квоты. Оформлено иностранным гражданам 1899 патентов.</w:t>
      </w:r>
    </w:p>
    <w:p w:rsidR="00E51DF0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 вклад в создание рабочих мест внесли предприятия и организациями города. Всего за 2015 год предприятиями и организациями города было создано 655 рабочих мест (в 2014 году 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641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рабочее место</w:t>
      </w:r>
      <w:r w:rsidRPr="0013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 том числе 574 постоянных рабочих места, 81 рабочее место временного характера.</w:t>
      </w:r>
    </w:p>
    <w:p w:rsidR="00134E43" w:rsidRPr="00134E43" w:rsidRDefault="00134E43" w:rsidP="001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51DF0" w:rsidRPr="00C51049" w:rsidRDefault="00E51DF0" w:rsidP="00A367AC">
      <w:pPr>
        <w:pStyle w:val="aa"/>
        <w:widowControl w:val="0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жизни населения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Одним из основных макроэкономических показателей уровня жизни являются доходы населения. По итогам 2015 года 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среднедушевой доход составил 47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590,44 руб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лей, или 101,7% к 2014 году (46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811,73 рублей).</w:t>
      </w:r>
    </w:p>
    <w:p w:rsid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Достигнутый уровень денежных доходов населения позволяет обеспечивать более трех бюджетов прожиточного минимума, который составляет                          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14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350,0 рублей.</w:t>
      </w:r>
    </w:p>
    <w:p w:rsidR="00C14DD1" w:rsidRPr="00C51049" w:rsidRDefault="00C14DD1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2015 году среднемесячная заработная плата одного работающего                       в о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рганизациях города составила 67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300,4 рублей, или 101,0% к 2014 году                       </w:t>
      </w:r>
      <w:r w:rsidR="00DE26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(66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654,6 рублей).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51049" w:rsidRPr="00C51049" w:rsidRDefault="00C51049" w:rsidP="00C5104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Рис. 4</w:t>
      </w:r>
    </w:p>
    <w:p w:rsid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47570C38" wp14:editId="717C9323">
            <wp:extent cx="6400800" cy="2355215"/>
            <wp:effectExtent l="0" t="0" r="0" b="698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Среднемесячный размер пенсии одного пенсионера по данным государственного учреждения - Отделение Пенсионного Фонда Российской Федерации по Ханты-Мансийскому автономному округу – Югре в городе                 Ханты-Мансийске в 2015 году составил 19605,89 рублей, или 110,6% к 2014 году (17729,17 рублей) без учета доплат из бюджета автономного округа.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Доплаты неработающим пенсионерам производятся Негосударственным Пенсионным Фондом Ханты-Мансийского автономного округа – Югры, размер доплаты зависит от стажа работы пенсионера на территории округа. За 2015 год до</w:t>
      </w:r>
      <w:r w:rsidR="000079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полнительные выплаты получили 6434 чел. (2014 год - 6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580 чел.) в среднем         </w:t>
      </w:r>
      <w:r w:rsidR="000079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992,7 рублей (2014 год - 1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015,3 рублей).</w:t>
      </w:r>
    </w:p>
    <w:p w:rsidR="00C51049" w:rsidRPr="00C51049" w:rsidRDefault="00C51049" w:rsidP="00C510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 учетом дополнительных выплат средний размер доходов одного неработающего пен</w:t>
      </w:r>
      <w:r w:rsidR="000079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сионера в 2015 году составил 20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598,6 рублей (2014 год - </w:t>
      </w:r>
      <w:r w:rsidR="000079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  <w:t>18</w:t>
      </w:r>
      <w:r w:rsidRPr="00C510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744,4 рублей).</w:t>
      </w:r>
    </w:p>
    <w:p w:rsidR="00BD4D65" w:rsidRPr="00FC133B" w:rsidRDefault="00BD4D65" w:rsidP="00A367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</w:pPr>
    </w:p>
    <w:p w:rsidR="00BD4D65" w:rsidRPr="00C835BA" w:rsidRDefault="00BD4D65" w:rsidP="00A367AC">
      <w:pPr>
        <w:pStyle w:val="aa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BD4D65" w:rsidRPr="00C835BA" w:rsidRDefault="00BD4D65" w:rsidP="00A3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5BA">
        <w:rPr>
          <w:rFonts w:ascii="Times New Roman" w:hAnsi="Times New Roman" w:cs="Times New Roman"/>
          <w:b/>
          <w:i/>
          <w:sz w:val="28"/>
          <w:szCs w:val="28"/>
        </w:rPr>
        <w:t>Торговля</w:t>
      </w:r>
    </w:p>
    <w:p w:rsidR="00C835BA" w:rsidRPr="00C835BA" w:rsidRDefault="00C835BA" w:rsidP="00C8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5B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Ханты-Мансийска создание условий для обеспечения жителей услугами общественного питания, торговли и бытового обслуживания относится к вопросам местного значения муниципального образования.</w:t>
      </w:r>
      <w:proofErr w:type="gramEnd"/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01.01.2016 на территории города функционирует максимальное количество торговых форматов:</w:t>
      </w:r>
      <w:r w:rsidRPr="00C83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торговых домов; 430 магазинов (в том числе: продовольственных - 203, непродовольственных - 227), 53 объекта мелкорозничной торговой сети, </w:t>
      </w:r>
      <w:r w:rsidRPr="00C835BA">
        <w:rPr>
          <w:rFonts w:ascii="Times New Roman" w:eastAsia="Times New Roman" w:hAnsi="Times New Roman" w:cs="Times New Roman"/>
          <w:sz w:val="28"/>
          <w:szCs w:val="24"/>
          <w:lang w:eastAsia="ru-RU"/>
        </w:rPr>
        <w:t>1 розничный рынок «Универсальный».</w:t>
      </w:r>
    </w:p>
    <w:p w:rsidR="00C835BA" w:rsidRPr="00C835BA" w:rsidRDefault="00C835BA" w:rsidP="00C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разви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торговли города направлены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социальную значимость потребительского рынка и создание условий для формирования комфортной потребительской среды. Сегодня на территории города наметилась тенденция развития в пользу </w:t>
      </w: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современных форматов торговли это сетевые формы торговли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использованием франшиз известных брендов) и несетевые форматы торговли, существующие на конкурентных условиях. </w:t>
      </w:r>
    </w:p>
    <w:p w:rsidR="00C835BA" w:rsidRPr="00C835BA" w:rsidRDefault="00C835BA" w:rsidP="00C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за 2015 год по предварител</w:t>
      </w:r>
      <w:r w:rsidR="009F31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данным составил в сумме 17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883,5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(рис. </w:t>
      </w:r>
      <w:r w:rsidR="00BE1D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в действующих ценах превышает уровень 2014 года на 986,7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5,8% в со</w:t>
      </w:r>
      <w:r w:rsidR="009F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поставимых ценах (2014 год - 16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896,8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</w:p>
    <w:p w:rsidR="00C835BA" w:rsidRPr="00C835BA" w:rsidRDefault="00C835BA" w:rsidP="00C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835BA" w:rsidRPr="00C835BA" w:rsidRDefault="00C835BA" w:rsidP="00C8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торговли,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835BA" w:rsidRPr="00C835BA" w:rsidRDefault="00C835BA" w:rsidP="00C8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59AE7" wp14:editId="64B46D0D">
            <wp:extent cx="5495925" cy="24003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35BA" w:rsidRPr="00C835BA" w:rsidRDefault="00C835BA" w:rsidP="00C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Товарооборот в расчете на душу населения составил 189,4 тыс. рублей </w:t>
      </w:r>
      <w:r w:rsidR="00B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</w:t>
      </w:r>
      <w:r w:rsidR="00BE1D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в действующих ценах на 6200 рублей больше показателя 2014 года (2014 год - 183,2 тыс. рублей).</w:t>
      </w:r>
    </w:p>
    <w:p w:rsidR="00C835BA" w:rsidRPr="00C835BA" w:rsidRDefault="00C835BA" w:rsidP="00C8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35BA" w:rsidRPr="00C835BA" w:rsidRDefault="00C835BA" w:rsidP="00C83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Calibri" w:hAnsi="Times New Roman" w:cs="Times New Roman"/>
          <w:sz w:val="28"/>
          <w:szCs w:val="28"/>
          <w:lang w:eastAsia="ru-RU"/>
        </w:rPr>
        <w:t>Оборот розничной торговли на душу населения, тыс. руб.</w:t>
      </w:r>
    </w:p>
    <w:p w:rsidR="00C835BA" w:rsidRPr="00C835BA" w:rsidRDefault="00C835BA" w:rsidP="00C83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88374" wp14:editId="3F680362">
            <wp:extent cx="5495925" cy="219075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35BA" w:rsidRPr="00C835BA" w:rsidRDefault="00C835BA" w:rsidP="00C8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2011-2015 годы введено в эксплуатацию 129 новых торговых объектов,                в том числе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2015 году открыт Торговый центр «</w:t>
      </w:r>
      <w:r w:rsidRPr="00C835B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NEBO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», Торговый комплекс федерального оператора «Лента», 32 магазина.</w:t>
      </w:r>
    </w:p>
    <w:p w:rsidR="00C835BA" w:rsidRPr="00C835BA" w:rsidRDefault="00C835BA" w:rsidP="00C835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Основным критерием оценки доступности товаров для населения                            и удовлетворения спроса является достижение нормативов минимальной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обеспеченности населения площадью торговых объектов.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hyperlink r:id="rId15" w:history="1">
        <w:r w:rsidRPr="00C835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Правительства</w:t>
        </w:r>
        <w:r w:rsidRPr="00C83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83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Ханты-Мансийского автономного округа - Югры </w:t>
        </w:r>
        <w:r w:rsidRPr="00C835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от 14.01.2011 №8-п «О нормативах минимальной обеспеченности населения площадью торговых объектов в Ханты-Мансийском автономном округе - Югре»</w:t>
        </w:r>
      </w:hyperlink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города Ханты-Мансийска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норматив минимальной обеспеченности торговой площадью на 1000 жителей - 515 </w:t>
      </w:r>
      <w:proofErr w:type="spell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кв.м</w:t>
      </w:r>
      <w:proofErr w:type="spellEnd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. Фактическая обеспеченность по состоянию на 0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1.01.2016 составила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859,0 </w:t>
      </w:r>
      <w:proofErr w:type="spell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кв</w:t>
      </w:r>
      <w:proofErr w:type="gram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.м</w:t>
      </w:r>
      <w:proofErr w:type="spellEnd"/>
      <w:proofErr w:type="gramEnd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1000 жителей (в 2014 году обеспеченность на 1000 жителей составляла 818,5 </w:t>
      </w:r>
      <w:proofErr w:type="spell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кв.м</w:t>
      </w:r>
      <w:proofErr w:type="spellEnd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). У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становленный норматив минимальной обеспеченности торговыми площадями превышен на 67%, что соответствует среднему показателю роста обеспеченности населения торговыми объектами              по Ханты-Мансийскому автономному округу – Югре.</w:t>
      </w:r>
    </w:p>
    <w:p w:rsidR="00C835BA" w:rsidRPr="00C835BA" w:rsidRDefault="00C835BA" w:rsidP="00C835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В городе Ханты-Мансийске торговые сети за пять лет стали одним из самых быстрорастущих и успешных сегментов розничного рынка, именно данная форма торговли</w:t>
      </w: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является эффективным способом</w:t>
      </w:r>
      <w:r w:rsidR="00C14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обеспечения физической</w:t>
      </w: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C14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</w: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 экономической доступности товаров для населения.</w:t>
      </w:r>
      <w:proofErr w:type="gramEnd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Торговые сети в городе представлены местными сетевыми компаниями - 47 хозяйствующих субъектов, осуществляющих деятельность на 118 объектах торговли, и торговыми сетями федеральных и региональных опер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аторов (в том числе работающих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франчайзингу) - 63 хозяйствующих субъекта на 90 торговых объектах. Доля площадей сетевой формы торговли в общей торговой площади составила 54%. </w:t>
      </w:r>
    </w:p>
    <w:p w:rsidR="00C835BA" w:rsidRPr="00C835BA" w:rsidRDefault="00C835BA" w:rsidP="00C8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города имеют межрегиональные связи. Местные сельхозпроизводители, товаропроизводители сельскохозяйственной продукции юга Тюменской области, Курганской, Свердловской и Челябинской областей, Ханты-Мансийского автономного округа – Югры регулярно представляют свою продукцию, принимают участие и заключают контракты на городских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окружных </w:t>
      </w:r>
      <w:proofErr w:type="spellStart"/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площадках.</w:t>
      </w:r>
    </w:p>
    <w:p w:rsidR="00C835BA" w:rsidRPr="00C835BA" w:rsidRDefault="00C835BA" w:rsidP="00C8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5B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Ханты-Мансийска от</w:t>
      </w:r>
      <w:r w:rsidRPr="00C83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28.07.2015 </w:t>
      </w: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№856 «Об определении количества торговых мест на универсальном рынке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C835BA">
        <w:rPr>
          <w:rFonts w:ascii="Times New Roman" w:eastAsia="Calibri" w:hAnsi="Times New Roman" w:cs="Times New Roman"/>
          <w:sz w:val="28"/>
          <w:szCs w:val="28"/>
        </w:rPr>
        <w:t>или занимающимися садоводством, огородничеством, животноводством» гарантированно предоставляются торговые места в размере 10% от общего количества торговых мест на универсальном рынке «Лукошко».</w:t>
      </w:r>
      <w:proofErr w:type="gramEnd"/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 В 2015 году обеспеченность торговыми местами составила 100%.</w:t>
      </w:r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2015 году проведено 69 </w:t>
      </w:r>
      <w:r w:rsidRPr="00C835BA">
        <w:rPr>
          <w:rFonts w:ascii="Times New Roman" w:eastAsia="Calibri" w:hAnsi="Times New Roman" w:cs="Times New Roman"/>
          <w:sz w:val="28"/>
          <w:szCs w:val="28"/>
        </w:rPr>
        <w:t>ярмарок,</w:t>
      </w:r>
      <w:r w:rsidRPr="00C835BA">
        <w:rPr>
          <w:rFonts w:ascii="Calibri" w:eastAsia="Calibri" w:hAnsi="Calibri" w:cs="Times New Roman"/>
          <w:sz w:val="28"/>
          <w:szCs w:val="28"/>
        </w:rPr>
        <w:t xml:space="preserve"> </w:t>
      </w:r>
      <w:r w:rsidRPr="00C835BA">
        <w:rPr>
          <w:rFonts w:ascii="Times New Roman" w:eastAsia="Calibri" w:hAnsi="Times New Roman" w:cs="Times New Roman"/>
          <w:sz w:val="28"/>
          <w:szCs w:val="28"/>
        </w:rPr>
        <w:t>(2014 год - 64 ярмарки)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том числе: </w:t>
      </w:r>
    </w:p>
    <w:p w:rsidR="00C835BA" w:rsidRPr="00C835BA" w:rsidRDefault="00EC739D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835BA" w:rsidRPr="00C835BA">
        <w:rPr>
          <w:rFonts w:ascii="Times New Roman" w:eastAsia="Calibri" w:hAnsi="Times New Roman" w:cs="Times New Roman"/>
          <w:bCs/>
          <w:sz w:val="28"/>
          <w:szCs w:val="28"/>
        </w:rPr>
        <w:t xml:space="preserve">VI Межрегиональная агропромышленная выставка Уральского Федерального округа в КВЦ «Югра-Экспо»; </w:t>
      </w:r>
    </w:p>
    <w:p w:rsidR="00C835BA" w:rsidRPr="00C835BA" w:rsidRDefault="00EC739D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5BA" w:rsidRPr="00C835BA">
        <w:rPr>
          <w:rFonts w:ascii="Times New Roman" w:eastAsia="Calibri" w:hAnsi="Times New Roman" w:cs="Times New Roman"/>
          <w:sz w:val="28"/>
          <w:szCs w:val="28"/>
        </w:rPr>
        <w:t>выставка-ярмарка «Ежегодный день урожая Ханты-Мансийского автономного округа - Югры;</w:t>
      </w:r>
    </w:p>
    <w:p w:rsidR="00C835BA" w:rsidRPr="00C835BA" w:rsidRDefault="00EC739D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35BA" w:rsidRPr="00C835BA">
        <w:rPr>
          <w:rFonts w:ascii="Times New Roman" w:eastAsia="Calibri" w:hAnsi="Times New Roman" w:cs="Times New Roman"/>
          <w:sz w:val="28"/>
          <w:szCs w:val="28"/>
        </w:rPr>
        <w:t xml:space="preserve"> первая городская сельскохозяйственная ярмарка «Дары осени»; </w:t>
      </w:r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ярмарка «Покупаем </w:t>
      </w:r>
      <w:proofErr w:type="gramStart"/>
      <w:r w:rsidRPr="00C835BA">
        <w:rPr>
          <w:rFonts w:ascii="Times New Roman" w:eastAsia="Calibri" w:hAnsi="Times New Roman" w:cs="Times New Roman"/>
          <w:sz w:val="28"/>
          <w:szCs w:val="28"/>
        </w:rPr>
        <w:t>Тюменское</w:t>
      </w:r>
      <w:proofErr w:type="gramEnd"/>
      <w:r w:rsidRPr="00C835BA">
        <w:rPr>
          <w:rFonts w:ascii="Times New Roman" w:eastAsia="Calibri" w:hAnsi="Times New Roman" w:cs="Times New Roman"/>
          <w:sz w:val="28"/>
          <w:szCs w:val="28"/>
        </w:rPr>
        <w:t>»;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835BA" w:rsidRPr="00C835BA" w:rsidRDefault="00EC739D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835BA"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окружная выставка-форум </w:t>
      </w:r>
      <w:r w:rsidR="00C835BA" w:rsidRPr="00C835BA">
        <w:rPr>
          <w:rFonts w:ascii="Times New Roman" w:eastAsia="Calibri" w:hAnsi="Times New Roman" w:cs="Times New Roman"/>
          <w:sz w:val="28"/>
          <w:szCs w:val="28"/>
        </w:rPr>
        <w:t>«Товары земли Югорской» и другие.</w:t>
      </w:r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</w:t>
      </w: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ярмарок способствует развитию здоровой конкуренции                      в городе, позволяет жителям города приобрести качественную продукцию                   </w:t>
      </w:r>
      <w:r w:rsidRPr="00C835BA">
        <w:rPr>
          <w:rFonts w:ascii="Times New Roman" w:eastAsia="Calibri" w:hAnsi="Times New Roman" w:cs="Times New Roman"/>
          <w:sz w:val="28"/>
          <w:szCs w:val="28"/>
        </w:rPr>
        <w:lastRenderedPageBreak/>
        <w:t>по ценам производителя, поддерживать экономические связи. График проведения ярмарок ежегодно размещается на Официальном информационном портале органов местного самоуправления города Ханты-Мансийска.</w:t>
      </w:r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Правительства Ханты-Мансийского автономного округа – Югры от 29.08.2014 №476-рп «О комплексе мер                          по обеспечению сбалансированности товарных рынков и недопущению необоснованного роста цен на сельскохозяйственную продукцию, сырье                           и продовольствие </w:t>
      </w:r>
      <w:proofErr w:type="gramStart"/>
      <w:r w:rsidRPr="00C835B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35B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 в городе Ханты-Мансийске проводится мониторинг ценовой ситуации                                       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C835BA">
        <w:rPr>
          <w:rFonts w:ascii="Times New Roman" w:eastAsia="Calibri" w:hAnsi="Times New Roman" w:cs="Times New Roman"/>
          <w:sz w:val="28"/>
          <w:szCs w:val="28"/>
        </w:rPr>
        <w:t>на продовольственном рынке. Информирование о ценах</w:t>
      </w:r>
      <w:r w:rsidRPr="00C835BA">
        <w:rPr>
          <w:rFonts w:ascii="Calibri" w:eastAsia="Calibri" w:hAnsi="Calibri" w:cs="Times New Roman"/>
          <w:sz w:val="28"/>
          <w:szCs w:val="28"/>
        </w:rPr>
        <w:t xml:space="preserve"> </w:t>
      </w:r>
      <w:r w:rsidRPr="00C835BA">
        <w:rPr>
          <w:rFonts w:ascii="Times New Roman" w:eastAsia="Calibri" w:hAnsi="Times New Roman" w:cs="Times New Roman"/>
          <w:sz w:val="28"/>
          <w:szCs w:val="28"/>
        </w:rPr>
        <w:t xml:space="preserve">по товаропроизводителям на фиксированный набор товаров предоставляется горожанам в виде открытого информационного доступа </w:t>
      </w:r>
      <w:r w:rsidRPr="00C835BA">
        <w:rPr>
          <w:rFonts w:ascii="Times New Roman" w:eastAsia="Calibri" w:hAnsi="Times New Roman" w:cs="Times New Roman"/>
          <w:sz w:val="28"/>
          <w:szCs w:val="28"/>
          <w:lang w:eastAsia="x-none"/>
        </w:rPr>
        <w:t>на Официальном информационном портале органов местного самоуправления города Ханты-Мансийска.</w:t>
      </w:r>
    </w:p>
    <w:p w:rsidR="00C835BA" w:rsidRPr="00C835BA" w:rsidRDefault="00C835BA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целях обеспечения социальной стабильности на территории города Ханты-Мансийска, стабилизации цен на отдельные виды продовольственных товаров первой необходимости подписано соглашение                       о сотрудничестве между Администрацией города Ханты-Мансийска </w:t>
      </w:r>
      <w:r w:rsidR="00EC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34 хозяйствующими субъектами: арендодателями, производителями, хозяйствующими субъектами осуществляющих деятельность по реализации                     в сфере розничной торговли продовольственных товаров. Результат принятого соглашения: представители предпринимательского сообщества не допускают нарушения в сфере установления предельных торговых надбавок к ценам                     на социально значимые товары; соблюдают постановление Правительства           Ханты-Мансийского автономного округа – Югры от 16.10.2007 №250-п                      «Об установлении предельных размеров торговых надбавок к ценам на некоторые виды продовольственных товаров»; предпринимают все возможные меры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снижения, недопущения роста, либо минимизации роста издержек торговли, влияющих на формирование конечных цен на продовольственные товары первой необходимости законодательного установленного перечня, в том числе                         по возможности применяют «упрощенные» формы торговли, обеспечивающие прямой доступ продовольственных товаров первой необходимости                                  от производителей к потребителю. Соглашение носит исключительно добровольный характер, открыто для присоединения новых предприятий торговли. </w:t>
      </w:r>
    </w:p>
    <w:p w:rsidR="00C835BA" w:rsidRPr="00C835BA" w:rsidRDefault="00C835BA" w:rsidP="00C8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gramStart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целях</w:t>
      </w:r>
      <w:proofErr w:type="gramEnd"/>
      <w:r w:rsidRPr="00C835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обеспечения потребности населения в торговых объектах пошаговой доступности, в городе продолжается работа по формированию Схемы размещения нестационарных торговых объектов на территории города. П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от 10.05.2011 № 601 «Об утверждении Схемы размещения нестационарных торговых объектов на территории города Ханты-Мансийска» схемой размещения предусмотрено 51 место.</w:t>
      </w:r>
    </w:p>
    <w:p w:rsidR="00C835BA" w:rsidRPr="00C835BA" w:rsidRDefault="00C835BA" w:rsidP="00C8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ввода в эксплуатацию новых площадей и открытия новых магазинов за 2015 год в данной отрасли трудоустроено 147 человек.</w:t>
      </w:r>
    </w:p>
    <w:p w:rsidR="00FD4E52" w:rsidRDefault="00C835BA" w:rsidP="00C83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Основные направления развития потребительского рынка в 2016 году будут направлены на удовлетворения спроса населения, на развитие услуг розничной </w:t>
      </w:r>
      <w:r w:rsidRPr="00C835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торговли и повышения их качества за счет</w:t>
      </w:r>
      <w:r w:rsidRPr="00C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торговых сетей </w:t>
      </w:r>
      <w:r w:rsidRPr="00C83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федеральных, региональных операторов и местных торговых сетей. </w:t>
      </w:r>
    </w:p>
    <w:p w:rsidR="00C835BA" w:rsidRDefault="00C835BA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4DD1" w:rsidRDefault="00C14DD1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4DD1" w:rsidRPr="00C835BA" w:rsidRDefault="00C14DD1" w:rsidP="00C8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E52" w:rsidRPr="00FD4E52" w:rsidRDefault="00FD4E52" w:rsidP="00FD4E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питание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За 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 сохранена положительная динамика оборота общественного питания.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борот общественного питания в действующих ценах составил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br/>
        <w:t>2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655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млн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руб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лей (рис.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 что больше показателя 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года на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,0% (201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br/>
        <w:t>24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80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млн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руб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лей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).</w:t>
      </w:r>
    </w:p>
    <w:p w:rsidR="00FD4E52" w:rsidRPr="00FD4E52" w:rsidRDefault="00FD4E52" w:rsidP="00FD4E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sz w:val="28"/>
          <w:szCs w:val="28"/>
          <w:lang w:eastAsia="ru-RU"/>
        </w:rPr>
        <w:t>Оборот общественного питания, млн</w:t>
      </w:r>
      <w:r w:rsidR="009204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D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6A564" wp14:editId="5B139830">
            <wp:extent cx="5391150" cy="22383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Качественным показателем развития этой сферы потребительского рынка является оборот общественного питания на душу населения. В 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году этот показатель составил 2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тыс. руб./чел.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 против 2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тыс. руб./чел. в 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году, что выше показателя 201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 xml:space="preserve"> года на 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,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FD4E52">
        <w:rPr>
          <w:rFonts w:ascii="Times New Roman" w:eastAsia="Calibri" w:hAnsi="Times New Roman" w:cs="Times New Roman"/>
          <w:iCs/>
          <w:sz w:val="28"/>
          <w:szCs w:val="28"/>
          <w:lang w:val="x-none" w:eastAsia="ru-RU"/>
        </w:rPr>
        <w:t>%.</w:t>
      </w:r>
    </w:p>
    <w:p w:rsidR="00FD4E52" w:rsidRPr="00FD4E52" w:rsidRDefault="00FD4E52" w:rsidP="00FD4E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sz w:val="28"/>
          <w:szCs w:val="28"/>
          <w:lang w:eastAsia="ru-RU"/>
        </w:rPr>
        <w:t>Оборот общественного питания на душу населения, тыс. руб.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23F62" wp14:editId="4C065330">
            <wp:extent cx="5495925" cy="248602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4E52" w:rsidRPr="00FD4E52" w:rsidRDefault="00FD4E52" w:rsidP="00FD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товарооборота, на протяжении последних 5 лет 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свидетельствует о том, что на </w:t>
      </w:r>
      <w:r w:rsidRPr="00FD4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рынке общественного питания 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города наблюдается высокая конкуренция, удовлетворяются потребности жителей и гостей города в качественных услугах </w:t>
      </w:r>
      <w:r w:rsidRPr="00FD4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питания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D4E52" w:rsidRPr="00FD4E52" w:rsidRDefault="00FD4E52" w:rsidP="00FD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состоянию на 0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1.01.2016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общественного питания в городе предоставляли 178 предприятий на 9753 посадочных места (2014 год - 182 предприятия на 9702 посадочных места), в том числе 150 предприятий общедоступной сети на 7253 посадочных места. 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 обеспеченности посадочными местами общедоступной сети на 1000 жителей - 40 посадочных мест, в городе Ханты-Мансийске данный норматив превышен на 93% и составил 77 посадочных мест (норматив посадочных мест установлен СНиП 2.07.01-89 «Градостроительство.</w:t>
      </w:r>
      <w:proofErr w:type="gramEnd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Планировка и застройка городских и сельских поселений»), данный показатель в среднем по Ханты-Мансийскому автономному округу - Югре превышен на 30% от установленного норматива.</w:t>
      </w:r>
      <w:proofErr w:type="gramEnd"/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Несмотря на достигнутые высокие показатели по обеспеченности посадочными местами в данной отрасли,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резерв для вхождения новых операторов данной отрасли. Так,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развития туризма в городе Ханты-Мансийске, 101 предприятие сферы питания города включено в туристскую индустрию, поэтому бизнес общественного питания по-прежнему можно расценивать как перспективное направление для инвестиций. В 2015 году реализовался инвестиционный проект по строительству ресторанного комплекса 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суши», «IL PATIO»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Новый комплекс общей площадью 800 </w:t>
      </w:r>
      <w:proofErr w:type="spellStart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</w:t>
      </w:r>
      <w:proofErr w:type="gramStart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spellEnd"/>
      <w:proofErr w:type="gramEnd"/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7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200 посадочных мест стал местом отдыха для горожан и гостей города. 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введено в эксплуатацию 17 предприятий общественного питания на 833 посадочных места, в их числе предприятия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известных международных 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брендов: две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кофейни «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Traveler</w:t>
      </w:r>
      <w:r w:rsidRPr="00FD4E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coffee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проекты реализованы на условиях франчайзинга), ресторан быстрого питания «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KFC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». 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на рынке общественного питания активно развиваются местные сетевые концепции, включая рестораны, кафе, бары и предприятия закрытого типа при предприятиях, учреждениях города (столовые, кафе, буфеты), новые заведения открываются в современных форматах с качественным предоставлением услуг потребителю в их числе</w:t>
      </w:r>
      <w:r w:rsidRPr="00FD4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придорожное кафе «</w:t>
      </w:r>
      <w:r w:rsidRPr="00FD4E5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MIX</w:t>
      </w:r>
      <w:r w:rsidRPr="00FD4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». 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вновь открывшихся предприятиях отрасли общественного питания </w:t>
      </w:r>
      <w:r w:rsidR="00C14D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2015 год горожане смогли получить </w:t>
      </w:r>
      <w:r w:rsidRPr="00FD4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185 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рабочих мест (2014 год - 158 рабочих мест). 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2016 отрасль общественного питания в городе будет развиваться,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строительство, реконструкция и перепрофилирование предприятий местных операторов, продолжится открытие сетевых</w:t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заведений,</w:t>
      </w:r>
      <w:r w:rsidR="00904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4D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позволит создать новые рабочие места, расширить ассортимент продукции </w:t>
      </w:r>
      <w:r w:rsidR="00C14D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улучшить качество предоставляемых услуг. </w:t>
      </w:r>
    </w:p>
    <w:p w:rsidR="00FD4E52" w:rsidRPr="00FD4E52" w:rsidRDefault="00FD4E52" w:rsidP="00FD4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E52" w:rsidRPr="00FD4E52" w:rsidRDefault="00FD4E52" w:rsidP="00FD4E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Бытовые услуги</w:t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Бытовое обслуживание 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одним из важных звеньев в системе платных услуг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Населению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города 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оказывается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порядка 800 различных видов услуг, предусмотренных общероссийским классификатором услуг.</w:t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Бытовое обслуживание в городе в основном представлено организациями малого бизнеса, удельный вес которых составляет более 80%. </w:t>
      </w:r>
    </w:p>
    <w:p w:rsidR="00FD4E52" w:rsidRDefault="00FD4E52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оказываемых бытовых услуг по городу в 2015 году составил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412,3 млн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(рис. </w:t>
      </w:r>
      <w:r w:rsidR="00BE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что на 6,5% больше в сопоставимых ценах к уровню 2014 года (2014 год - 387,1 млн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рублей). </w:t>
      </w:r>
    </w:p>
    <w:p w:rsidR="00C14DD1" w:rsidRDefault="00C14DD1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D1" w:rsidRPr="00FD4E52" w:rsidRDefault="00C14DD1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E52" w:rsidRPr="00FD4E52" w:rsidRDefault="00FD4E52" w:rsidP="00FD4E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бытовых услуг, млн</w:t>
      </w:r>
      <w:r w:rsidR="0092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2484F" wp14:editId="378CB972">
            <wp:extent cx="5391150" cy="24384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расчете</w:t>
      </w:r>
      <w:proofErr w:type="gramEnd"/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одного жителя города за 2015 год объем оказываемых бытовых услуг составил 4367 рублей (2014 год - 4197 рублей) (рис. </w:t>
      </w:r>
      <w:r w:rsidR="00BE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D4E52" w:rsidRPr="00FD4E52" w:rsidRDefault="00FD4E52" w:rsidP="00FD4E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D4E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Рис. </w:t>
      </w:r>
      <w:r w:rsidR="00BE1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</w:t>
      </w:r>
    </w:p>
    <w:p w:rsidR="00FD4E52" w:rsidRPr="00FD4E52" w:rsidRDefault="00FD4E52" w:rsidP="00FD4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бытовых услуг на душу населения, тыс. руб.</w:t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30D7A" wp14:editId="6C18CA99">
            <wp:extent cx="5695950" cy="25527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развития бытового обслуживания является объем оказания бытовых услуг за период 2011-2015 годов, рост которого к уровню 2011 года составил 72,0%, рост оказания бытовых услуг на душу населения составил 42,5%, что определяет степень экономического благополучия территории.</w:t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состоянию на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</w:t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D4E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2016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территории города функционируют 405 объектов бытового обслуживания населения.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 пять лет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Ханты-Мансийске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открыт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101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объект по оказанию бытовых услуг, рост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2011 году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составил 27,8%.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Организация объектов создало для населения города 342 новых рабочих места.</w:t>
      </w:r>
    </w:p>
    <w:p w:rsidR="00FD4E52" w:rsidRPr="00FD4E52" w:rsidRDefault="00FD4E52" w:rsidP="00FD4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бытовых услуг идет за счет открытия салонов по изготовлению мебели, пошиву штор, салонов и студий красоты, большим спросом пользуется у населения студийные фотоуслуги. Сегодня в городе успешно работают свыше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 высококлассных салонов, ателье, мастерских, которые стремятся к достижению современного сервиса - проводят мероприятия по повышению качества услуг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 обслуживания. </w:t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обеспечения наибольших удобств, </w:t>
      </w:r>
      <w:r w:rsidR="00C1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населения города, открываются объекты с комплексным оказанием услуг </w:t>
      </w:r>
      <w:r w:rsidR="00C1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типу «</w:t>
      </w:r>
      <w:proofErr w:type="spellStart"/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Мультисервис</w:t>
      </w:r>
      <w:proofErr w:type="spellEnd"/>
      <w:r w:rsidRPr="00FD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(ремонт обуви, ремонт одежды, ремонт металлоизделий, изготовление ключей, цифровой фотографии) в местах массового прож</w:t>
      </w:r>
      <w:r w:rsidR="00EC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ивания </w:t>
      </w:r>
      <w:r w:rsidR="00C1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C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пребывания горожан.</w:t>
      </w:r>
    </w:p>
    <w:p w:rsidR="00BD4D65" w:rsidRPr="00FC133B" w:rsidRDefault="00FD4E52" w:rsidP="00FD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</w:t>
      </w:r>
      <w:proofErr w:type="gramStart"/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традиционными видами интенсивно предлагаются принципиально новые виды услуг: </w:t>
      </w:r>
      <w:proofErr w:type="spellStart"/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FD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(профессиональная уборка квартир, коттеджей с применением современного оборудования </w:t>
      </w:r>
      <w:r w:rsidR="00C1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материалов), дизайн жилых помещений</w:t>
      </w:r>
    </w:p>
    <w:p w:rsidR="00C726C9" w:rsidRPr="00FC133B" w:rsidRDefault="00C726C9" w:rsidP="00A367AC">
      <w:pPr>
        <w:widowControl w:val="0"/>
        <w:tabs>
          <w:tab w:val="left" w:pos="43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A367AC" w:rsidRPr="00304DE2" w:rsidRDefault="00EE15EF" w:rsidP="00EE15EF">
      <w:pPr>
        <w:pStyle w:val="aa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Криминогенная обстановка</w:t>
      </w:r>
      <w:proofErr w:type="gramEnd"/>
    </w:p>
    <w:p w:rsidR="003C42C0" w:rsidRPr="00FC133B" w:rsidRDefault="003C42C0" w:rsidP="003C42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C42C0" w:rsidRPr="002F2988" w:rsidRDefault="003C42C0" w:rsidP="003C42C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охраны общественного порядка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 добровольных дружин, обеспечения взаимодействия с Администрацией города Ханты-Мансийска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правоохранительными органами постановлением Администрации города Ханты-Мансийска от 06.02.2015 №288 создан штаб. В 2015 году проведено 2 заседания штаба, на которых рассмотрены вопросы организации деятельности дружин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охране общественного порядка. 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действует 5 добровольных народных дружин по охране общественного порядка (далее - ДНД), созданных в ОАО «Управление теплоснабжения и инженерных сетей», муниципальном </w:t>
      </w:r>
      <w:proofErr w:type="spellStart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водоканализационном</w:t>
      </w:r>
      <w:proofErr w:type="spellEnd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предприятии, муниципальном дорожно-эксплуатационном предприятии, муниципальном предприятии «Ханты-</w:t>
      </w:r>
      <w:proofErr w:type="spellStart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Мансийскгаз</w:t>
      </w:r>
      <w:proofErr w:type="spellEnd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Ханты-Мансийском технолого-педагогическом колледже.</w:t>
      </w:r>
      <w:proofErr w:type="gramEnd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членов ДНД составляет 32 человека.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Дружинниками осуществлено 87 выходов на охрану общественного порядка, отработан 261 человеко-час. С их участием раскрыто 1 преступление в сфере незаконного оборота наркотических средств, выявлено и пресечено </w:t>
      </w:r>
      <w:r w:rsidR="00EC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административных правонарушения. 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члены добровольных народных дружин города Ханты-Мансийска принимали участие в охране общественного порядка 1 и 9 мая, </w:t>
      </w:r>
      <w:r w:rsidR="00EC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июня, 4 ноября при проведении мероприятий, посвященных празднованию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Весны и Труда, Дня Победы, Дня России и Дня города, Дня народного единства.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к охране общественного порядка на период проведения праздничных мероприятий, посвященных Дню независимости России (12 июня)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Дню народного единства (4 ноября), привлекались члены Станичного казачьего общества станицы «Ермаковская». Участие в охране общественного порядка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приняли 16 казаков, которыми отработано </w:t>
      </w:r>
      <w:r w:rsidR="00EC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80 человеко-часов.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«Профилактика правонарушений в сфере обеспечения общественной безопасности и правопорядка в городе Ханты-Мансийске» на 2014-2020 годы:</w:t>
      </w:r>
    </w:p>
    <w:p w:rsidR="00FC488B" w:rsidRPr="00FC488B" w:rsidRDefault="00EC739D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88B"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24.04.2015 для членов добровольных народных дружин проведен обучающий семинар, на котором дружинникам вручены удостоверения, выданы форменная одежда (светоотражающие жилеты) и атрибутика (повязки и нагрудные знаки). В ходе семинара дружинникам доведены положения законодательства, регламентирующего деятельность дружин;</w:t>
      </w:r>
    </w:p>
    <w:p w:rsidR="00FC488B" w:rsidRPr="00FC488B" w:rsidRDefault="00EC739D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88B"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488B"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беспечена работа системы видеонаблюдения за состоянием правопорядка в городе Ханты-Мансийске, видеонаблюдения автоматизированной системы управления дорожным движением, комплексов </w:t>
      </w:r>
      <w:proofErr w:type="spellStart"/>
      <w:r w:rsidR="00FC488B"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фотовидеофиксации</w:t>
      </w:r>
      <w:proofErr w:type="spellEnd"/>
      <w:r w:rsidR="00FC488B"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правил дорожного движения и идентификации транспортных средств.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к системе видеонаблюдения за состоянием правопорядка дополнительно подключены 11 видеокамер, запущен в эксплуатацию комплекс </w:t>
      </w:r>
      <w:proofErr w:type="spell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видеофиксации</w:t>
      </w:r>
      <w:proofErr w:type="spellEnd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правил дорожного движения «Одиссей» </w:t>
      </w:r>
      <w:r w:rsidR="00EC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ул.</w:t>
      </w:r>
      <w:r w:rsidR="0014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Объездная</w:t>
      </w:r>
      <w:proofErr w:type="gramEnd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видеокамер систем видеонаблюдения, входящих </w:t>
      </w:r>
      <w:r w:rsidR="00C1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аппаратно-программный комплекс </w:t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«Безопасный город», составляет 195 единиц, из них 144 по линии охраны правопорядка и 51 по линии обеспечения безопасности дорожного движения, в том числе 9 комплексов </w:t>
      </w:r>
      <w:proofErr w:type="spell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фотовидеофиксации</w:t>
      </w:r>
      <w:proofErr w:type="spellEnd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правил дорожного движения и идентификации транспортных средств. 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с помощью камер наблюдения раскрыто 4 преступления (2014 год </w:t>
      </w:r>
      <w:r w:rsidR="00EC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EC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преступлений</w:t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выявлено и пресечено 384 административных правонарушения в сфере обеспечения общественного порядка (2014 год - 780). Комплексами </w:t>
      </w:r>
      <w:proofErr w:type="spell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фотовидеофиксации</w:t>
      </w:r>
      <w:proofErr w:type="spellEnd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17841 нарушение правил дорожного движения (2014 год - 17334).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результате</w:t>
      </w:r>
      <w:proofErr w:type="gramEnd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профилактических мер количество преступлений, совершенных в общественных местах в сравнении с 2014 годом снизилось </w:t>
      </w:r>
      <w:r w:rsidR="0090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2,3% и составило 667 преступлений (2014 год - 683). Количество преступлений, совершенных на улицах сократилось на 1,9% (с 354 до 347).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дорожно-транспортных происшествий сократилось на 18,2%</w:t>
      </w:r>
      <w:r w:rsidR="0090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143 до 117), количество раненых при них сократилось на 16,2%</w:t>
      </w:r>
      <w:r w:rsidR="0090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185 до 155 человек), погибло 2 человека (2014 год - 13).</w:t>
      </w:r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смертности при дорожно-транспортных происшествиях составил 2,1 случая на 100 тыс. населения (2014 год - 13,9) и является самым низким показателем за последние 10 лет.</w:t>
      </w:r>
      <w:proofErr w:type="gramEnd"/>
    </w:p>
    <w:p w:rsidR="00FC488B" w:rsidRPr="00FC488B" w:rsidRDefault="00FC488B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2016 год в сфере охраны общественного порядка </w:t>
      </w:r>
      <w:r w:rsidR="0019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оказания поддержки гражданам и их объединениям, участвующим в охране общественного порядка, создании условий для деятельности народных дружин являются:</w:t>
      </w:r>
    </w:p>
    <w:p w:rsidR="00FC488B" w:rsidRPr="00FC488B" w:rsidRDefault="00EC739D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88B"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добровольных народных формирований;</w:t>
      </w:r>
    </w:p>
    <w:p w:rsidR="00FC488B" w:rsidRPr="00FC488B" w:rsidRDefault="00EC739D" w:rsidP="00FC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88B"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 видеонаблюдения и </w:t>
      </w:r>
      <w:proofErr w:type="spellStart"/>
      <w:r w:rsidR="00FC488B"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фотовидеофиксации</w:t>
      </w:r>
      <w:proofErr w:type="spellEnd"/>
      <w:r w:rsidR="00FC488B" w:rsidRPr="00F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правил дорожного движения в городе Ханты-Мансийске.</w:t>
      </w:r>
      <w:r w:rsidR="00FC488B" w:rsidRPr="00FC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88B" w:rsidRPr="00FC488B" w:rsidRDefault="00FC488B" w:rsidP="00FC48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7E3E" w:rsidRPr="00C63597" w:rsidRDefault="00ED5E9A" w:rsidP="00ED5E9A">
      <w:pPr>
        <w:pStyle w:val="aa"/>
        <w:widowControl w:val="0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2.14._Организация_и"/>
      <w:bookmarkEnd w:id="3"/>
      <w:r w:rsidRPr="00C6359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Состояние жилищного фонда</w:t>
      </w:r>
    </w:p>
    <w:p w:rsidR="00DD0384" w:rsidRPr="00FC133B" w:rsidRDefault="00DD0384" w:rsidP="00AA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Администрации города Ханты-Мансийска в сфере жилищно-коммунального хозяйства являются повышение уровня и качества предоставления жилищно-коммунальных услуг, улучшение условий проживания населения.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Закона Ханты-Мансийского автономного округа - Югры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01.07.2013 №54-оз «Об организации проведения капитального ремонта общего имущества в многоквартирных домах, расположенных на территории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Югры» в 2015 году продолжено проведение инвентаризации многоквартирных домов, расположенных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города.</w:t>
      </w:r>
      <w:proofErr w:type="gramEnd"/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Собираемость обязательных взносов на капитальный ремонт по итогам 2015 года составила 90,9% (в 2014 году - 82%), что на 24,2% больше, </w:t>
      </w:r>
      <w:r w:rsid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среднем по Югре.</w:t>
      </w:r>
    </w:p>
    <w:p w:rsidR="00313FFC" w:rsidRPr="00313FFC" w:rsidRDefault="00313FFC" w:rsidP="001B4C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13FFC">
        <w:rPr>
          <w:rFonts w:ascii="Times New Roman" w:eastAsia="Calibri" w:hAnsi="Times New Roman" w:cs="Times New Roman"/>
          <w:sz w:val="28"/>
        </w:rPr>
        <w:t xml:space="preserve">В соответствии с постановлением Администрации города Ханты-Мансийска от 09.08.2012 №947 в 2015 году на условиях </w:t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софинансирования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 xml:space="preserve"> произведен капитальный ремонт 5 многоквартирных домов: </w:t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ул</w:t>
      </w:r>
      <w:proofErr w:type="gramStart"/>
      <w:r w:rsidRPr="00313FFC">
        <w:rPr>
          <w:rFonts w:ascii="Times New Roman" w:eastAsia="Calibri" w:hAnsi="Times New Roman" w:cs="Times New Roman"/>
          <w:sz w:val="28"/>
        </w:rPr>
        <w:t>.С</w:t>
      </w:r>
      <w:proofErr w:type="gramEnd"/>
      <w:r w:rsidRPr="00313FFC">
        <w:rPr>
          <w:rFonts w:ascii="Times New Roman" w:eastAsia="Calibri" w:hAnsi="Times New Roman" w:cs="Times New Roman"/>
          <w:sz w:val="28"/>
        </w:rPr>
        <w:t>троителей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 xml:space="preserve">, д.89; </w:t>
      </w:r>
      <w:r w:rsidRPr="00313FFC">
        <w:rPr>
          <w:rFonts w:ascii="Times New Roman" w:eastAsia="Calibri" w:hAnsi="Times New Roman" w:cs="Times New Roman"/>
          <w:sz w:val="28"/>
        </w:rPr>
        <w:br/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ул.Труда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 xml:space="preserve">, д.2; </w:t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ул.Строителей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 xml:space="preserve">, д.107; </w:t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ул.Спортивная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 xml:space="preserve">, д.10; </w:t>
      </w:r>
      <w:proofErr w:type="spellStart"/>
      <w:r w:rsidRPr="00313FFC">
        <w:rPr>
          <w:rFonts w:ascii="Times New Roman" w:eastAsia="Calibri" w:hAnsi="Times New Roman" w:cs="Times New Roman"/>
          <w:sz w:val="28"/>
        </w:rPr>
        <w:t>ул.Ключевая</w:t>
      </w:r>
      <w:proofErr w:type="spellEnd"/>
      <w:r w:rsidRPr="00313FFC">
        <w:rPr>
          <w:rFonts w:ascii="Times New Roman" w:eastAsia="Calibri" w:hAnsi="Times New Roman" w:cs="Times New Roman"/>
          <w:sz w:val="28"/>
        </w:rPr>
        <w:t>, д.4.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84 муниципальных квартир на общую сумму 15733 тыс. рублей.</w:t>
      </w:r>
    </w:p>
    <w:p w:rsidR="00313FFC" w:rsidRPr="00313FFC" w:rsidRDefault="00313FFC" w:rsidP="001B4C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13FFC">
        <w:rPr>
          <w:rFonts w:ascii="Times New Roman" w:eastAsia="Calibri" w:hAnsi="Times New Roman" w:cs="Times New Roman"/>
          <w:sz w:val="28"/>
        </w:rPr>
        <w:t xml:space="preserve">В 2015 году выполнялись работы по капитальному ремонту (ремонт инженерных сетей теплоснабжения, водоснабжения, водоотведения, электроснабжения, кровель, мест общего пользования, входных групп, несущих перекрытий, а также обшив и утепление) 44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313FFC">
        <w:rPr>
          <w:rFonts w:ascii="Times New Roman" w:eastAsia="Calibri" w:hAnsi="Times New Roman" w:cs="Times New Roman"/>
          <w:sz w:val="28"/>
        </w:rPr>
        <w:t xml:space="preserve"> на общую стоимость работ 31,232 млн. рублей.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действующего законодательства приемка выполнения работ по капитальному ремонту осуществлялась при обязательном участии Общественного совета при Главе Администрации города Ханты-Мансийска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по вопросам жилищно-коммунального хозяйства, в состав которого вошли </w:t>
      </w:r>
      <w:r w:rsidRPr="00313FFC">
        <w:rPr>
          <w:rFonts w:ascii="Times New Roman" w:eastAsia="Calibri" w:hAnsi="Times New Roman" w:cs="Times New Roman"/>
          <w:sz w:val="28"/>
          <w:szCs w:val="28"/>
        </w:rPr>
        <w:br/>
        <w:t>25 человек, в том числе председатели Советов многоквартирных домов, активные жильцы, руководители управляющих компаний и ТСЖ</w:t>
      </w:r>
      <w:r w:rsidRPr="00313FFC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FFC">
        <w:rPr>
          <w:rFonts w:ascii="Times New Roman" w:eastAsia="Calibri" w:hAnsi="Times New Roman" w:cs="Times New Roman"/>
          <w:sz w:val="28"/>
        </w:rPr>
        <w:t>В 2015 году представителями Общественного совета при Главе Администрации города Ханты-Мансийска по вопросам жилищно-коммунального хозяйства принято более 100 человек на личных приемах, проведено 6 заседаний, на которых заслушаны доклады и отчеты руководителей органов Администрации города Ханты-Мансийска. Инициировано проведение отчетных собраний управляющими организациями города.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В 2015 году управляющие организации города Ханты-Мансийска провели работу по лицензированию своей деятельности в соответствии с Федеральным законом от 21.07.2014 №255-ФЗ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 Из 16 управляющих организаций к 01.06.2015 получили лицензии 13, остальные 3 организации прекратили деятельность по управлению </w:t>
      </w:r>
      <w:r w:rsidRPr="00313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многоквартирными домами. К концу 2015 года дополнительно зарегистрировались и получили лицензии 2 новые управляющие организации (ООО «Атлант» 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Энергоэксперт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технического состояния на 31.12.2015 число многоквартирных домов</w:t>
      </w:r>
      <w:r w:rsidR="0030507E">
        <w:rPr>
          <w:rFonts w:ascii="Times New Roman" w:eastAsia="Calibri" w:hAnsi="Times New Roman" w:cs="Times New Roman"/>
          <w:sz w:val="28"/>
          <w:szCs w:val="28"/>
        </w:rPr>
        <w:t xml:space="preserve"> составляло 1163 единицы (в 2014 году - 1</w:t>
      </w:r>
      <w:r w:rsidRPr="00313FFC">
        <w:rPr>
          <w:rFonts w:ascii="Times New Roman" w:eastAsia="Calibri" w:hAnsi="Times New Roman" w:cs="Times New Roman"/>
          <w:sz w:val="28"/>
          <w:szCs w:val="28"/>
        </w:rPr>
        <w:t>154 ед.) о</w:t>
      </w:r>
      <w:r w:rsidR="0030507E">
        <w:rPr>
          <w:rFonts w:ascii="Times New Roman" w:eastAsia="Calibri" w:hAnsi="Times New Roman" w:cs="Times New Roman"/>
          <w:sz w:val="28"/>
          <w:szCs w:val="28"/>
        </w:rPr>
        <w:t>бщей площадью жилых помещений 1</w:t>
      </w:r>
      <w:r w:rsidRPr="00313FFC">
        <w:rPr>
          <w:rFonts w:ascii="Times New Roman" w:eastAsia="Calibri" w:hAnsi="Times New Roman" w:cs="Times New Roman"/>
          <w:sz w:val="28"/>
          <w:szCs w:val="28"/>
        </w:rPr>
        <w:t>6</w:t>
      </w:r>
      <w:r w:rsidR="0030507E">
        <w:rPr>
          <w:rFonts w:ascii="Times New Roman" w:eastAsia="Calibri" w:hAnsi="Times New Roman" w:cs="Times New Roman"/>
          <w:sz w:val="28"/>
          <w:szCs w:val="28"/>
        </w:rPr>
        <w:t xml:space="preserve">76,9 тыс. </w:t>
      </w:r>
      <w:proofErr w:type="spellStart"/>
      <w:r w:rsidR="0030507E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30507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30507E">
        <w:rPr>
          <w:rFonts w:ascii="Times New Roman" w:eastAsia="Calibri" w:hAnsi="Times New Roman" w:cs="Times New Roman"/>
          <w:sz w:val="28"/>
          <w:szCs w:val="28"/>
        </w:rPr>
        <w:t xml:space="preserve"> (в 2014 году - 1</w:t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563 тыс.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Из общего количества многоквартирных домов, в перечень домов, находящихся под управлением лицензированными управляющими организациями, вошло 266 домов, из них 115 многоквартирных домов находится в управлении муниципального предприятия «Жилищно-коммунальное управление».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с собственниками жилых помещений в части реализации их обязанностей по выбору способа управления многоквартирными домами в соответствии с частью</w:t>
      </w:r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2 статьи 161 Жилищного кодекса Российской Федерации. В 2015 году инициировано проведение более 100 общих собраний собственников по переходу с непосредственного способа управления (по домам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с количеством более 30 квартир) на управление управляющей организацией. Проведены открытые конкурсы по отбору управляющей организации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для управления 9 многоквартирными домами в городе Ханты-Мансийске,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которых с собственниками заключены договоры управления. 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общедомовыми приборами учета по всем коммунальным услугам (тепло, вода, свет) составляет 100%.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83D" w:rsidRDefault="0019483D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FFC" w:rsidRPr="00313FFC" w:rsidRDefault="00313FFC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FC">
        <w:rPr>
          <w:rFonts w:ascii="Times New Roman" w:eastAsia="Calibri" w:hAnsi="Times New Roman" w:cs="Times New Roman"/>
          <w:b/>
          <w:sz w:val="28"/>
          <w:szCs w:val="28"/>
        </w:rPr>
        <w:t>Водоснабжение и водоотведение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Деятельность в области водоснабжения и водоотведения на территории города осуществляется муниципальным водоканализационным предприятием. </w:t>
      </w:r>
    </w:p>
    <w:p w:rsid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В 2015 году план по добыче воды выполнен на 97,46% (в 2014 году - 98,3%). Объем поднятой воды составил 5483,41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>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/год, или 14,98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тыс.куб.м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/сутки (в 2014 году - 5543,79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тыс.куб.м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/год или 15,19 тыс.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/сутки). По данным 2015 года максимальный суточный объем добычи зафиксирован в феврале месяце -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16,72 тыс.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/сутки, а минимальный суточный объем в июле составил </w:t>
      </w:r>
      <w:r w:rsidR="00C14DD1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13,31 тыс.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/сутки, что не превышает разрешенный лицензированный отбор. На водозаборе общий фонд скважин насосной станции первого подъема составляет 19 скважин, из них 11 действующих (10 из них высокодебитные и одна резервная скважины), 8 наблюдательных.</w:t>
      </w:r>
    </w:p>
    <w:p w:rsidR="007948DE" w:rsidRPr="007948DE" w:rsidRDefault="007948DE" w:rsidP="00794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Объем подачи питьевой воды в 2015 году составил 5221,4 тыс. </w:t>
      </w:r>
      <w:proofErr w:type="spellStart"/>
      <w:r w:rsidRPr="007948DE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Pr="007948D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/год,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что в среднесуточном выражении составляет 14,3 тыс. </w:t>
      </w:r>
      <w:proofErr w:type="spellStart"/>
      <w:r w:rsidRPr="007948D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/сутки. В сравнении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с 2014 годом объем подачи воды за 2015 год уменьшился на 1,7%. Объем воды, реализованный абонентам, уменьшился на 0,2% (2015 год - 4837,25 тыс. </w:t>
      </w:r>
      <w:proofErr w:type="spellStart"/>
      <w:r w:rsidRPr="007948DE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Pr="007948D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2014 год - 4846,62 тыс. </w:t>
      </w:r>
      <w:proofErr w:type="spellStart"/>
      <w:r w:rsidRPr="007948D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7948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948DE" w:rsidRDefault="007948DE" w:rsidP="00794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За 2015 год построено водопроводных сетей общей протяженностью 7,8 км. Завершены работы по строительству резервуара объемом 10 тыс. </w:t>
      </w:r>
      <w:proofErr w:type="spellStart"/>
      <w:r w:rsidRPr="007948DE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Pr="007948D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t xml:space="preserve">на водозаборе «Северный». В связи с переключением потребителей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централизованный водопровод ликвидировано 35% водоразборных колонок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48DE">
        <w:rPr>
          <w:rFonts w:ascii="Times New Roman" w:eastAsia="Calibri" w:hAnsi="Times New Roman" w:cs="Times New Roman"/>
          <w:sz w:val="28"/>
          <w:szCs w:val="28"/>
        </w:rPr>
        <w:t>(17 единиц).</w:t>
      </w:r>
    </w:p>
    <w:p w:rsidR="007948DE" w:rsidRDefault="007948DE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722F0" w:rsidRDefault="000722F0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7375B" w:rsidRDefault="0087375B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722F0" w:rsidRDefault="000722F0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722F0" w:rsidRDefault="000722F0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722F0" w:rsidRPr="00313FFC" w:rsidRDefault="000722F0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13FFC" w:rsidRPr="00313FFC" w:rsidRDefault="00313FFC" w:rsidP="001B4CDD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Рис. </w:t>
      </w:r>
      <w:r w:rsidR="007948D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</w:t>
      </w:r>
    </w:p>
    <w:p w:rsidR="00313FFC" w:rsidRPr="00313FFC" w:rsidRDefault="00313FFC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Обеспеченность жилищного фонда холодной водой, %</w:t>
      </w:r>
    </w:p>
    <w:p w:rsidR="00313FFC" w:rsidRPr="00313FFC" w:rsidRDefault="00313FFC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14227" wp14:editId="2CF37B4E">
            <wp:extent cx="5742432" cy="2114093"/>
            <wp:effectExtent l="0" t="0" r="0" b="63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722F0" w:rsidRDefault="000722F0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В течение 2015 года муниципальным водоканализационным предприятием </w:t>
      </w:r>
      <w:r w:rsidRPr="00313FFC">
        <w:rPr>
          <w:rFonts w:ascii="Times New Roman" w:eastAsia="Calibri" w:hAnsi="Times New Roman" w:cs="Times New Roman"/>
          <w:sz w:val="28"/>
          <w:szCs w:val="28"/>
        </w:rPr>
        <w:t>«Водоканал» (далее – МП «Водоканал»)</w:t>
      </w:r>
      <w:r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выполнены следующие работы на сетях водоснабжения:</w:t>
      </w:r>
    </w:p>
    <w:p w:rsidR="00313FFC" w:rsidRPr="00313FFC" w:rsidRDefault="0030507E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="00313FFC"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промыто 30 км сетей в полиэтиленовом исполнении (в 2014 году - 18 км) </w:t>
      </w:r>
      <w:r w:rsidR="0087375B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br/>
      </w:r>
      <w:r w:rsidR="00313FFC"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и 48,7 км сетей в стальном исполнении (в 2014 году - 22 км), проложенных совместно с тепловыми сетями;</w:t>
      </w:r>
    </w:p>
    <w:p w:rsidR="00313FFC" w:rsidRPr="00313FFC" w:rsidRDefault="0030507E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="00313FFC"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отремонтирован 231 водопроводный колодец (в 2014 году - 54);</w:t>
      </w:r>
    </w:p>
    <w:p w:rsidR="00313FFC" w:rsidRPr="00313FFC" w:rsidRDefault="0030507E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="00313FFC"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выполнена замена 46 пожарных гидрантов (в 2014 году - 12). Были установлены гидранты нового образца со сроком эксплуатации до 30 лет;</w:t>
      </w:r>
    </w:p>
    <w:p w:rsidR="00313FFC" w:rsidRPr="00313FFC" w:rsidRDefault="0030507E" w:rsidP="001B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="00313FFC" w:rsidRPr="00313FF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отремонтировано 107 пожарных гидрантов (в 2014 году - 73), что составляет 18% от общего количества.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2015 году фактический объем принятых, очищенных и сброшенных сточных вод составил 5400,12 тыс.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</w:t>
      </w:r>
      <w:proofErr w:type="gram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.м</w:t>
      </w:r>
      <w:proofErr w:type="spellEnd"/>
      <w:proofErr w:type="gram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/год (в 2014 году - 5425 тыс.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куб.м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/год), среднесуточный приток равен 14,75 тыс.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куб.м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/сутки (в 2014 году - </w:t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 xml:space="preserve">14,8 тыс.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куб.м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/сутки), среднечасовой - 614,6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куб.м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/час (в 2014 году - </w:t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 xml:space="preserve">616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куб.м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/час), что не превышает проектную производительность канализационных очистных сооружений. 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сравнению с 2014 годом в 2015 году сточных вод принято на 0,5% меньше, что обусловлено общим снижением объема водопотребления населением. 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Принцип работы очистных сооружений города Ханты-Мансийска основан </w:t>
      </w:r>
      <w:r w:rsidR="0087375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многоступенчатой технологии, включающей несколько стадий очистки. Сооружения очистки сточных вод включают четыре линии биологической очистки, сооружения доочистки фильтров глубокой очистки (6 фильтров),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реагентное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хозяйство (2 установки), станцию ультрафиолетового обеззараживания </w:t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сточных вод (2 установки), цех механического обезвоживания осадка (2 установки),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песковые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поля (2 шт.), поля компостирования (4 шт.), воздуходувную станцию </w:t>
      </w:r>
      <w:r w:rsidR="0087375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(3 установки), канализационную насосную станцию.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Протяженность канализационных сетей по городу составляет 186 км, </w:t>
      </w:r>
      <w:r w:rsidR="0087375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балансе МП «Водоканал» находится 110,12 км (самотечных - 69,13 км; напорных - 41,121 км).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2015 году на канализационных очистных сооружениях введен </w:t>
      </w:r>
      <w:r w:rsidR="0087375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эксплуатацию четвертый резервуар биологической очистки, что позволило увеличить их производительность до 18,0 тыс. 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куб</w:t>
      </w:r>
      <w:proofErr w:type="gram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.м</w:t>
      </w:r>
      <w:proofErr w:type="spellEnd"/>
      <w:proofErr w:type="gram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proofErr w:type="spell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сут</w:t>
      </w:r>
      <w:proofErr w:type="spell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головной канализационной насосной станции (далее - КНС) была установлена ступенчатая решетка тонкой очистки </w:t>
      </w:r>
      <w:proofErr w:type="spellStart"/>
      <w:r w:rsidRPr="00313FF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Rotoscreen</w:t>
      </w:r>
      <w:proofErr w:type="spellEnd"/>
      <w:r w:rsidRPr="00313FF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313FF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Ротоскрин</w:t>
      </w:r>
      <w:proofErr w:type="spellEnd"/>
      <w:r w:rsidRPr="00313FF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). Оборудование работает в полном автоматическом режиме в зависимости </w:t>
      </w:r>
      <w:r w:rsidR="0087375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br/>
      </w:r>
      <w:r w:rsidRPr="00313FF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от установленного времени срабатывания решетки и уровня сточных вод</w:t>
      </w: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В </w:t>
      </w:r>
      <w:proofErr w:type="gram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рамках</w:t>
      </w:r>
      <w:proofErr w:type="gram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реализации программы энергосберегающих мероприятий на данной КНС установлен тепловой насос, использующий тепловую энергию сточных вод города для обогрева производственных помещений.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целях</w:t>
      </w:r>
      <w:proofErr w:type="gramEnd"/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обеспечения защиты насосов от засорения на КНС-4 установлена дробильная машина для задержания и измельчения в потоке сточных вод бытового мусора.</w:t>
      </w:r>
    </w:p>
    <w:p w:rsidR="00313FFC" w:rsidRPr="00313FFC" w:rsidRDefault="00313FFC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FC">
        <w:rPr>
          <w:rFonts w:ascii="Times New Roman" w:eastAsia="Calibri" w:hAnsi="Times New Roman" w:cs="Times New Roman"/>
          <w:b/>
          <w:sz w:val="28"/>
          <w:szCs w:val="28"/>
        </w:rPr>
        <w:t>Теплоснабжение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отоплением и горячим водоснабжением более 90% потребителей города осуществляется открытым акционерным обществом «Управление теплоснабжения и инженерных сетей» (ОАО «УТС»).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Протяженность действующих сетей теплоснабжения города составляет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138,3 км (2014 год - 137,4 км), сетей горячего водоснабжения 21,3 км (2014 год - 21,5 км).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подачи тепловой энергии в 2015 году составил 482257,3 Гкал </w:t>
      </w:r>
      <w:r w:rsidR="00B24B04">
        <w:rPr>
          <w:rFonts w:ascii="Times New Roman" w:eastAsia="Times New Roman" w:hAnsi="Times New Roman" w:cs="Times New Roman"/>
          <w:sz w:val="28"/>
          <w:szCs w:val="28"/>
          <w:lang w:eastAsia="zh-CN"/>
        </w:rPr>
        <w:t>(2014 год - 435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300,0 Гкал), что на 10,8% больше периода отопительного сезона 2013-2014 годов. Основной причиной является увеличением объектов капитального строительства, подключенных к централизованному теплоснабжению.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2015 году тепловая энергия производится на 55 котельных (2014 год -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52 котельные), из них 47 котельных оснащены системой диспетчерского контроля (2014 год - 42 котельные). Автоматизированная система диспетчерского контроля обеспечивает бесперебойную работу котельных установок без постоянного присутствия персонала на них. Указанная система значительно снижает затраты на содержание персонала, а также приводит к экономии топлива и подаче более качественной тепловой энергии потребителям.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государственной программы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2014-2020 годы» в целях модернизации сетей теплоснабжения в 2015 году привлечено средств бюджета Ханты-Мансийского автономного округа – Югры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размере 43,5 млн</w:t>
      </w:r>
      <w:r w:rsidR="00B24B0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что позволило выполнить ремонт сетей теплоснабжения и водоснабжения в рамках установленного норматива </w:t>
      </w:r>
      <w:r w:rsidR="00B24B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(не менее </w:t>
      </w:r>
      <w:r w:rsidR="00B24B0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5%) на общую</w:t>
      </w:r>
      <w:proofErr w:type="gramEnd"/>
      <w:r w:rsidR="00B24B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сумму 70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579,6 тыс. рублей по 45 адресам (2014 год - 17 адресов)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и в следующих объемах: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ветхих сетей теплоснабжения 3,55 км (2014 год - 3,04 км);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сетей водоснабжения 1,5 км (2014 год - 2,0 км);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сетей горячего водоснабжения 0,62 км (в 2014 году - 0,34 км).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Отопительный период 2014-2015 годов прошел стабильно, без аварий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инцидентов.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Рис. </w:t>
      </w:r>
      <w:r w:rsidR="000722F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Обеспеченность жилищного фонда отоплением, %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3CE2E77" wp14:editId="67D93783">
            <wp:extent cx="5486400" cy="32004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FC">
        <w:rPr>
          <w:rFonts w:ascii="Times New Roman" w:eastAsia="Calibri" w:hAnsi="Times New Roman" w:cs="Times New Roman"/>
          <w:b/>
          <w:sz w:val="28"/>
          <w:szCs w:val="28"/>
        </w:rPr>
        <w:t>Электроснабжение</w:t>
      </w:r>
    </w:p>
    <w:p w:rsid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2015 году электроснабжение города Ханты-Мансийска осуществлялось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5 подстанций (далее - ПС) (ПС «Ханты-Мансийская», ПС «Авангард»,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ПС «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Самарово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ПС «Западная», ПС «ГИБДД»). </w:t>
      </w:r>
    </w:p>
    <w:p w:rsidR="000722F0" w:rsidRPr="000722F0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2015 году аварийных технологических нарушений в системе электроснабжения города не возникало. </w:t>
      </w:r>
    </w:p>
    <w:p w:rsidR="000722F0" w:rsidRPr="000722F0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 по городу распределительных пунктов (далее - РП), трансформаторных подстанций (далее - ТП) - 410 шт.</w:t>
      </w:r>
    </w:p>
    <w:p w:rsidR="000722F0" w:rsidRPr="000722F0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Общее количество отключений в сетях 10 </w:t>
      </w:r>
      <w:proofErr w:type="spellStart"/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2015 году сократилось на 9% и составило 42 отключения (2014 год - 46 отключений). </w:t>
      </w:r>
      <w:proofErr w:type="spellStart"/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Недоотпуск</w:t>
      </w:r>
      <w:proofErr w:type="spellEnd"/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электроэнергии из-за аварийных отключений уменьшился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468 тыс. кВт/час.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Надежность городских электрических сетей обеспечивает отсутствие проблемы дефицита мощностей в распределительных сетях. </w:t>
      </w:r>
    </w:p>
    <w:p w:rsidR="000722F0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Наблюдается непрерывный рост нагрузок в системе электроснабжения города Ханты-Мансийска. Максимальная нагрузка в осенне-зимний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722F0">
        <w:rPr>
          <w:rFonts w:ascii="Times New Roman" w:eastAsia="Times New Roman" w:hAnsi="Times New Roman" w:cs="Times New Roman"/>
          <w:sz w:val="28"/>
          <w:szCs w:val="28"/>
          <w:lang w:eastAsia="zh-CN"/>
        </w:rPr>
        <w:t>2014-2015 годов по отношению к осенне-зимнему периоду 2013-2014 годов увеличилась на 7,3 МВт (+8,4%) и составила 94,4 МВт (93,3% разрешенной мощности). Максимум осенне-зимнего периода 2015-2016 годов до настоящего времени не зафиксирован.</w:t>
      </w:r>
    </w:p>
    <w:p w:rsidR="000722F0" w:rsidRPr="00313FFC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2015 году построены и введены в работу системы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объектов с общим отбором мощности около 5,5 МВт, в том числе: </w:t>
      </w:r>
    </w:p>
    <w:p w:rsidR="000722F0" w:rsidRPr="00313FFC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детский сад на 300 мест в микрорайоне Иртыш (0,28 МВт);</w:t>
      </w:r>
    </w:p>
    <w:p w:rsidR="000722F0" w:rsidRPr="00313FFC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жилые дома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.Г</w:t>
      </w:r>
      <w:proofErr w:type="gram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агарина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141, 149 (0,6 МВт); «Жилые дома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ул.Югорская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1,3,5» (1 МВт); жилой дом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ул.Дзержинского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Лесная (0,3 МВт); жилые дома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ул.Комсомольская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Энгельса (0,5 МВт);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ул.Объездная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(0,3 МВт); «Жилой дом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ул.А.Коньковой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2» (0,3 МВт); «Жилой дом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ул.Б.Лосева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(0,3 МВт); жилой дом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ул.А.Коньковой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8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(0,45 МВт); «Жилой дом 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ул.А.Коньковой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10» (0,7 МВт); «Жилой дом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.Ш</w:t>
      </w:r>
      <w:proofErr w:type="gram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евченко</w:t>
      </w:r>
      <w:proofErr w:type="spell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51» (0,3 МВт). </w:t>
      </w:r>
    </w:p>
    <w:p w:rsidR="000722F0" w:rsidRPr="00313FFC" w:rsidRDefault="000722F0" w:rsidP="000722F0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3FFC" w:rsidRPr="00313FFC" w:rsidRDefault="00313FFC" w:rsidP="001B4CDD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Рис. 1</w:t>
      </w:r>
      <w:r w:rsidR="000722F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13FFC" w:rsidRPr="00313FFC" w:rsidRDefault="00313FFC" w:rsidP="001B4CDD">
      <w:pPr>
        <w:spacing w:after="0" w:line="240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3383D8" wp14:editId="3A55B47C">
            <wp:extent cx="5905500" cy="40005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 году МП «ГЭС» выполнило следующие работы: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реконструкция оборудования трансформаторных подстанций - 12 шт. (2014 год - 5 шт.);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построены новые электроустановки:</w:t>
      </w:r>
    </w:p>
    <w:p w:rsidR="00313FFC" w:rsidRPr="00313FFC" w:rsidRDefault="00B24B04" w:rsidP="000563C8">
      <w:pPr>
        <w:tabs>
          <w:tab w:val="left" w:pos="180"/>
        </w:tabs>
        <w:suppressAutoHyphens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ТП-10/0,4кВ - 4 шт.; </w:t>
      </w:r>
    </w:p>
    <w:p w:rsidR="00313FFC" w:rsidRPr="00313FFC" w:rsidRDefault="00B24B04" w:rsidP="000563C8">
      <w:pPr>
        <w:tabs>
          <w:tab w:val="left" w:pos="180"/>
        </w:tabs>
        <w:suppressAutoHyphens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воздушных линий 10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- 0,5 км;</w:t>
      </w:r>
    </w:p>
    <w:p w:rsidR="00313FFC" w:rsidRPr="00313FFC" w:rsidRDefault="00B24B04" w:rsidP="000563C8">
      <w:pPr>
        <w:tabs>
          <w:tab w:val="left" w:pos="180"/>
        </w:tabs>
        <w:suppressAutoHyphens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воздушных линий 0,4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- 8 км;</w:t>
      </w:r>
    </w:p>
    <w:p w:rsidR="00313FFC" w:rsidRPr="00313FFC" w:rsidRDefault="00B24B04" w:rsidP="000563C8">
      <w:pPr>
        <w:tabs>
          <w:tab w:val="left" w:pos="180"/>
        </w:tabs>
        <w:suppressAutoHyphens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кабельных линий 10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- 10,8 км;</w:t>
      </w:r>
    </w:p>
    <w:p w:rsidR="00313FFC" w:rsidRPr="00313FFC" w:rsidRDefault="00B24B04" w:rsidP="000563C8">
      <w:pPr>
        <w:tabs>
          <w:tab w:val="left" w:pos="180"/>
        </w:tabs>
        <w:suppressAutoHyphens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кабельных линий 0,4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- 2 км;</w:t>
      </w:r>
    </w:p>
    <w:p w:rsidR="00313FFC" w:rsidRPr="00313FFC" w:rsidRDefault="00B24B04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демонтированы электроустановки: </w:t>
      </w:r>
    </w:p>
    <w:p w:rsidR="00313FFC" w:rsidRPr="00313FFC" w:rsidRDefault="000563C8" w:rsidP="000563C8">
      <w:pPr>
        <w:tabs>
          <w:tab w:val="left" w:pos="180"/>
        </w:tabs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ТП-10/0,4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- 2 шт.;</w:t>
      </w:r>
    </w:p>
    <w:p w:rsidR="00313FFC" w:rsidRPr="00313FFC" w:rsidRDefault="000563C8" w:rsidP="000563C8">
      <w:pPr>
        <w:tabs>
          <w:tab w:val="left" w:pos="180"/>
        </w:tabs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воздушных линий - 1,67 км;</w:t>
      </w:r>
    </w:p>
    <w:p w:rsidR="00313FFC" w:rsidRPr="00313FFC" w:rsidRDefault="000563C8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 капитальный ремонт строительной части и кровли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9 распределительных пунктах и трансформаторных подстанциях;</w:t>
      </w:r>
    </w:p>
    <w:p w:rsidR="00313FFC" w:rsidRPr="00313FFC" w:rsidRDefault="000563C8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установлена система телемеханики на ТП/РП - 10/0,4 </w:t>
      </w:r>
      <w:proofErr w:type="spellStart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кВ</w:t>
      </w:r>
      <w:proofErr w:type="spellEnd"/>
      <w:r w:rsidR="00313FFC"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- 19 шт.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 году от подстанции «ГИБДД» присоединен объект «ТБО» мощностью 130 кВт.</w:t>
      </w:r>
    </w:p>
    <w:p w:rsidR="00313FFC" w:rsidRPr="00313FFC" w:rsidRDefault="00313FFC" w:rsidP="001B4CDD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электроэнергии в 2015 году составил 451,610 млн</w:t>
      </w:r>
      <w:r w:rsidR="000563C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кВт, реализовано электроэнергии 414,711 млн</w:t>
      </w:r>
      <w:r w:rsidR="000563C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кВт на сумму 1139,7 млн</w:t>
      </w:r>
      <w:r w:rsidR="000563C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Потери составили 36,9 млн</w:t>
      </w:r>
      <w:r w:rsidR="000563C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кВт или 8,2%. За 2015 год предприятия и организации города потребили электрическую энергию в объеме 283219 тыс. кВт, население - </w:t>
      </w:r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168391 тыс. кВт. </w:t>
      </w:r>
      <w:proofErr w:type="gramStart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конец</w:t>
      </w:r>
      <w:proofErr w:type="gramEnd"/>
      <w:r w:rsidRPr="00313F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2015 года количество потребителей - юридических лиц составило 910 абонентов, физических лиц - 31046 абонентов.</w:t>
      </w:r>
    </w:p>
    <w:p w:rsidR="00313FFC" w:rsidRPr="00313FFC" w:rsidRDefault="00313FFC" w:rsidP="001B4C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Обеспеченность потребителей электрической энергии приборами учета составляет 99%.</w:t>
      </w:r>
    </w:p>
    <w:p w:rsidR="001B4CDD" w:rsidRDefault="001B4CDD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FFC" w:rsidRPr="00313FFC" w:rsidRDefault="00313FFC" w:rsidP="001B4C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FFC">
        <w:rPr>
          <w:rFonts w:ascii="Times New Roman" w:eastAsia="Calibri" w:hAnsi="Times New Roman" w:cs="Times New Roman"/>
          <w:b/>
          <w:sz w:val="28"/>
          <w:szCs w:val="28"/>
        </w:rPr>
        <w:t>Газоснабжение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Деятельность в сфере услуг по транспортировке природного газа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>по газораспределительным сетям на территории города осуществляет муниципальное предприятие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» (далее - МП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В 2015 году МП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» обеспечена транспортировка природного газа в объеме 119,6 млн</w:t>
      </w:r>
      <w:r w:rsidR="000563C8">
        <w:rPr>
          <w:rFonts w:ascii="Times New Roman" w:eastAsia="Calibri" w:hAnsi="Times New Roman" w:cs="Times New Roman"/>
          <w:sz w:val="28"/>
          <w:szCs w:val="28"/>
        </w:rPr>
        <w:t>.</w:t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(2014 год - 119,4 млн</w:t>
      </w:r>
      <w:r w:rsidR="000563C8">
        <w:rPr>
          <w:rFonts w:ascii="Times New Roman" w:eastAsia="Calibri" w:hAnsi="Times New Roman" w:cs="Times New Roman"/>
          <w:sz w:val="28"/>
          <w:szCs w:val="28"/>
        </w:rPr>
        <w:t>.</w:t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). Общая протяженность сетей газоснабжения, находящихся на обслуживании, составляет 267,91 км (2014 год - 264 км)</w:t>
      </w:r>
      <w:r w:rsidR="00E40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Также основной деятельностью предприятия является обеспечение теплоснабжением и горячим водоснабжением потребителей города. За отчетный период предприятием отпущено т</w:t>
      </w:r>
      <w:r w:rsidR="000563C8">
        <w:rPr>
          <w:rFonts w:ascii="Times New Roman" w:eastAsia="Calibri" w:hAnsi="Times New Roman" w:cs="Times New Roman"/>
          <w:sz w:val="28"/>
          <w:szCs w:val="28"/>
        </w:rPr>
        <w:t>епловой энергии в количестве 30</w:t>
      </w:r>
      <w:r w:rsidRPr="00313FFC">
        <w:rPr>
          <w:rFonts w:ascii="Times New Roman" w:eastAsia="Calibri" w:hAnsi="Times New Roman" w:cs="Times New Roman"/>
          <w:sz w:val="28"/>
          <w:szCs w:val="28"/>
        </w:rPr>
        <w:t>335,72</w:t>
      </w:r>
      <w:r w:rsidR="000563C8">
        <w:rPr>
          <w:rFonts w:ascii="Times New Roman" w:eastAsia="Calibri" w:hAnsi="Times New Roman" w:cs="Times New Roman"/>
          <w:sz w:val="28"/>
          <w:szCs w:val="28"/>
        </w:rPr>
        <w:t xml:space="preserve"> Гкал, горячей воды в объеме 37</w:t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753,0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. На балансе предприятия находится 2,4 км сетей теплоснабжения и 1 км горячего водоснабжения.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В связи с повышением качества содержания сетей газоснабжения </w:t>
      </w:r>
      <w:r w:rsidR="003D2F8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в 2015 году единой аварийно-диспетчерской газовой службой локализовано </w:t>
      </w:r>
      <w:r w:rsidR="003D2F8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>5 аварий (инциденто</w:t>
      </w:r>
      <w:r w:rsidR="000563C8">
        <w:rPr>
          <w:rFonts w:ascii="Times New Roman" w:eastAsia="Calibri" w:hAnsi="Times New Roman" w:cs="Times New Roman"/>
          <w:sz w:val="28"/>
          <w:szCs w:val="28"/>
        </w:rPr>
        <w:t>в) (2014 год - 26), выполнено 1660 аварийных заявок и 2</w:t>
      </w:r>
      <w:r w:rsidRPr="00313FFC">
        <w:rPr>
          <w:rFonts w:ascii="Times New Roman" w:eastAsia="Calibri" w:hAnsi="Times New Roman" w:cs="Times New Roman"/>
          <w:sz w:val="28"/>
          <w:szCs w:val="28"/>
        </w:rPr>
        <w:t>104 плановых осмотра объектов газоснабжения.</w:t>
      </w:r>
    </w:p>
    <w:p w:rsidR="00FD05FA" w:rsidRDefault="00FD05FA" w:rsidP="001B4CDD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13FFC" w:rsidRPr="00313FFC" w:rsidRDefault="00313FFC" w:rsidP="001B4CDD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Рис. 1</w:t>
      </w:r>
      <w:r w:rsidR="000722F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13FF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Обеспеченность жилищного фонда газом, %</w:t>
      </w:r>
    </w:p>
    <w:p w:rsidR="00313FFC" w:rsidRPr="00313FFC" w:rsidRDefault="00313FFC" w:rsidP="001B4CD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04F9C9AC" wp14:editId="7DBA900A">
            <wp:extent cx="5486400" cy="3200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На обслуживании предприятия находится 20 котельных (2014 год - 19) общей мощностью 33,59 Гкал (2014 год - 33,19 Гкал).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Осуществлена подготовка 267,91 км (в 2014 году - 264 км) газопроводов разных давлений и установленных на них сооружений, находящихся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собственности, обслуживаемых на договорных отношениях, также бесхозяйных газопроводов. Основные производственные мероприятия:</w:t>
      </w:r>
    </w:p>
    <w:p w:rsidR="00313FFC" w:rsidRPr="00313FFC" w:rsidRDefault="000563C8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 xml:space="preserve">произведен текущий ремонт 12 головных газорегуляторных пунктов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>и 113 квартальных и домовых газораспределительных пунктов шкафного типа;</w:t>
      </w:r>
    </w:p>
    <w:p w:rsidR="00313FFC" w:rsidRPr="00313FFC" w:rsidRDefault="000563C8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>выполнен текущий ремонт 6-ти станций катодной защиты стальных газопроводов высокого давления;</w:t>
      </w:r>
    </w:p>
    <w:p w:rsidR="00313FFC" w:rsidRPr="00313FFC" w:rsidRDefault="000563C8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>выполнен текущий ремонт 75 отключающих устройств;</w:t>
      </w:r>
    </w:p>
    <w:p w:rsidR="00313FFC" w:rsidRPr="00313FFC" w:rsidRDefault="000563C8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 xml:space="preserve">окрашено более 250 метров распределительных надземных газопроводов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>и 300 метров фасадных газопроводов;</w:t>
      </w:r>
    </w:p>
    <w:p w:rsidR="00313FFC" w:rsidRPr="00313FFC" w:rsidRDefault="000563C8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3FFC" w:rsidRPr="00313FFC">
        <w:rPr>
          <w:rFonts w:ascii="Times New Roman" w:eastAsia="Calibri" w:hAnsi="Times New Roman" w:cs="Times New Roman"/>
          <w:sz w:val="28"/>
          <w:szCs w:val="28"/>
        </w:rPr>
        <w:t xml:space="preserve">произведены работы по </w:t>
      </w:r>
      <w:proofErr w:type="spellStart"/>
      <w:r w:rsidR="00313FFC" w:rsidRPr="00313FFC">
        <w:rPr>
          <w:rFonts w:ascii="Times New Roman" w:eastAsia="Calibri" w:hAnsi="Times New Roman" w:cs="Times New Roman"/>
          <w:sz w:val="28"/>
          <w:szCs w:val="28"/>
        </w:rPr>
        <w:t>обваловыванию</w:t>
      </w:r>
      <w:proofErr w:type="spellEnd"/>
      <w:r w:rsidR="00313FFC" w:rsidRPr="00313FFC">
        <w:rPr>
          <w:rFonts w:ascii="Times New Roman" w:eastAsia="Calibri" w:hAnsi="Times New Roman" w:cs="Times New Roman"/>
          <w:sz w:val="28"/>
          <w:szCs w:val="28"/>
        </w:rPr>
        <w:t xml:space="preserve"> 50 метров газопроводов и подсыпке 5 крановых узлов, установке указателей, осмотру состояния стальных газопроводов методом </w:t>
      </w:r>
      <w:proofErr w:type="spellStart"/>
      <w:r w:rsidR="00313FFC" w:rsidRPr="00313FFC">
        <w:rPr>
          <w:rFonts w:ascii="Times New Roman" w:eastAsia="Calibri" w:hAnsi="Times New Roman" w:cs="Times New Roman"/>
          <w:sz w:val="28"/>
          <w:szCs w:val="28"/>
        </w:rPr>
        <w:t>шурфования</w:t>
      </w:r>
      <w:proofErr w:type="spellEnd"/>
      <w:r w:rsidR="00313FFC" w:rsidRPr="00313F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Предприятием выполнен полный комплекс планово-предупредительных работ на 19 муниципальных котельных, находящихся в хозяйственном ведении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>МП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», в целях подготовки объектов теплоснабжения. Произведена замена выработавшего ресурс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подпиточного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насоса на котельной «Детский сад ОМК».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Заменены регуляторы давления газа на газораспределительных устройствах котельных: жилого дома на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13FFC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13FFC">
        <w:rPr>
          <w:rFonts w:ascii="Times New Roman" w:eastAsia="Calibri" w:hAnsi="Times New Roman" w:cs="Times New Roman"/>
          <w:sz w:val="28"/>
          <w:szCs w:val="28"/>
        </w:rPr>
        <w:t>абережная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, Студгородка, метеостанции, общежитий ОТРК </w:t>
      </w:r>
      <w:r w:rsidR="000563C8">
        <w:rPr>
          <w:rFonts w:ascii="Times New Roman" w:eastAsia="Calibri" w:hAnsi="Times New Roman" w:cs="Times New Roman"/>
          <w:sz w:val="28"/>
          <w:szCs w:val="28"/>
        </w:rPr>
        <w:t>«</w:t>
      </w:r>
      <w:r w:rsidRPr="00313FFC">
        <w:rPr>
          <w:rFonts w:ascii="Times New Roman" w:eastAsia="Calibri" w:hAnsi="Times New Roman" w:cs="Times New Roman"/>
          <w:sz w:val="28"/>
          <w:szCs w:val="28"/>
        </w:rPr>
        <w:t>Югра</w:t>
      </w:r>
      <w:r w:rsidR="000563C8">
        <w:rPr>
          <w:rFonts w:ascii="Times New Roman" w:eastAsia="Calibri" w:hAnsi="Times New Roman" w:cs="Times New Roman"/>
          <w:sz w:val="28"/>
          <w:szCs w:val="28"/>
        </w:rPr>
        <w:t>»</w:t>
      </w:r>
      <w:r w:rsidRPr="00313FFC">
        <w:rPr>
          <w:rFonts w:ascii="Times New Roman" w:eastAsia="Calibri" w:hAnsi="Times New Roman" w:cs="Times New Roman"/>
          <w:sz w:val="28"/>
          <w:szCs w:val="28"/>
        </w:rPr>
        <w:t>, также произведена замена 4-х задвижек на котельной «Студенческий городок».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Заменены участки теплотрассы протяженностью 200 м на котельной «Наблюдательный комплекс и метеорологическая площадка».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МП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» в 2015 году газифицировано 205 объектов </w:t>
      </w:r>
      <w:r w:rsidR="000563C8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(2014 год - 105), 8 многоквартирных жилых домов и 192 домовладения </w:t>
      </w:r>
      <w:r w:rsidRPr="00313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физических лиц, 5 объектов юридических лиц. Реконструировано 2 объекта сетей 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и 15 физических лиц.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 xml:space="preserve">Осуществлен перевод 10 многоквартирных жилых домов со сжиженного </w:t>
      </w:r>
      <w:r w:rsidR="0087375B">
        <w:rPr>
          <w:rFonts w:ascii="Times New Roman" w:eastAsia="Calibri" w:hAnsi="Times New Roman" w:cs="Times New Roman"/>
          <w:sz w:val="28"/>
          <w:szCs w:val="28"/>
        </w:rPr>
        <w:br/>
      </w:r>
      <w:r w:rsidRPr="00313FFC">
        <w:rPr>
          <w:rFonts w:ascii="Times New Roman" w:eastAsia="Calibri" w:hAnsi="Times New Roman" w:cs="Times New Roman"/>
          <w:sz w:val="28"/>
          <w:szCs w:val="28"/>
        </w:rPr>
        <w:t>на природный газ, всего 154 квартиры.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МП «Ханты-</w:t>
      </w:r>
      <w:proofErr w:type="spellStart"/>
      <w:r w:rsidRPr="00313FFC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313FFC">
        <w:rPr>
          <w:rFonts w:ascii="Times New Roman" w:eastAsia="Calibri" w:hAnsi="Times New Roman" w:cs="Times New Roman"/>
          <w:sz w:val="28"/>
          <w:szCs w:val="28"/>
        </w:rPr>
        <w:t>» осуществляет техническое обслуживание внутридомового газового оборудования 11401 абонента, или 78% от общего количества (14619 абонентов). Обслуживание остальных 22% осуществляются иными специализированными организациями.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FFC">
        <w:rPr>
          <w:rFonts w:ascii="Times New Roman" w:eastAsia="Calibri" w:hAnsi="Times New Roman" w:cs="Times New Roman"/>
          <w:sz w:val="28"/>
          <w:szCs w:val="28"/>
        </w:rPr>
        <w:t>Всего за 2015 год реализовано 1056,26 тонны сжиженного газа (2014 год - 906,2 тонны).</w:t>
      </w:r>
    </w:p>
    <w:p w:rsidR="00313FFC" w:rsidRPr="00313FFC" w:rsidRDefault="00313FFC" w:rsidP="001B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1"/>
    <w:p w:rsidR="00FC6D12" w:rsidRPr="00FC133B" w:rsidRDefault="00FC6D12" w:rsidP="00A367A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i/>
          <w:highlight w:val="yellow"/>
          <w:lang w:val="x-none" w:eastAsia="x-none"/>
        </w:rPr>
        <w:sectPr w:rsidR="00FC6D12" w:rsidRPr="00FC133B" w:rsidSect="00AA7E3E">
          <w:footerReference w:type="default" r:id="rId24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6736C6" w:rsidRPr="00891BC2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CA0EE3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66"/>
      <w:bookmarkEnd w:id="4"/>
      <w:r w:rsidRPr="00891BC2">
        <w:rPr>
          <w:rFonts w:ascii="Times New Roman" w:hAnsi="Times New Roman" w:cs="Times New Roman"/>
          <w:sz w:val="28"/>
          <w:szCs w:val="28"/>
        </w:rPr>
        <w:t>Информация о состоянии жилищного фонда в городских округах</w:t>
      </w:r>
      <w:r w:rsidR="00CA0EE3">
        <w:rPr>
          <w:rFonts w:ascii="Times New Roman" w:hAnsi="Times New Roman" w:cs="Times New Roman"/>
          <w:sz w:val="28"/>
          <w:szCs w:val="28"/>
        </w:rPr>
        <w:t xml:space="preserve"> </w:t>
      </w:r>
      <w:r w:rsidRPr="00891BC2">
        <w:rPr>
          <w:rFonts w:ascii="Times New Roman" w:hAnsi="Times New Roman" w:cs="Times New Roman"/>
          <w:sz w:val="28"/>
          <w:szCs w:val="28"/>
        </w:rPr>
        <w:t>и муниципальных районах</w:t>
      </w:r>
    </w:p>
    <w:p w:rsidR="006736C6" w:rsidRPr="00891BC2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CA0EE3">
        <w:rPr>
          <w:rFonts w:ascii="Times New Roman" w:hAnsi="Times New Roman" w:cs="Times New Roman"/>
          <w:sz w:val="28"/>
          <w:szCs w:val="28"/>
        </w:rPr>
        <w:t xml:space="preserve"> </w:t>
      </w:r>
      <w:r w:rsidRPr="00891BC2">
        <w:rPr>
          <w:rFonts w:ascii="Times New Roman" w:hAnsi="Times New Roman" w:cs="Times New Roman"/>
          <w:sz w:val="28"/>
          <w:szCs w:val="28"/>
        </w:rPr>
        <w:t>округа - Югры за отчетный период, кв. метров</w:t>
      </w:r>
    </w:p>
    <w:p w:rsidR="006736C6" w:rsidRPr="00891BC2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BC2">
        <w:rPr>
          <w:rFonts w:ascii="Times New Roman" w:hAnsi="Times New Roman" w:cs="Times New Roman"/>
          <w:sz w:val="28"/>
          <w:szCs w:val="28"/>
          <w:u w:val="single"/>
        </w:rPr>
        <w:t>город Ханты-Мансийск</w:t>
      </w:r>
    </w:p>
    <w:p w:rsidR="006736C6" w:rsidRPr="00891BC2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6736C6" w:rsidRPr="00891BC2" w:rsidRDefault="006736C6" w:rsidP="006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1245"/>
        <w:gridCol w:w="1605"/>
        <w:gridCol w:w="1436"/>
        <w:gridCol w:w="1436"/>
        <w:gridCol w:w="1523"/>
        <w:gridCol w:w="992"/>
        <w:gridCol w:w="1417"/>
        <w:gridCol w:w="1134"/>
        <w:gridCol w:w="1559"/>
        <w:gridCol w:w="1134"/>
        <w:gridCol w:w="1701"/>
      </w:tblGrid>
      <w:tr w:rsidR="00AB29CD" w:rsidRPr="00AB29CD" w:rsidTr="0041179E">
        <w:trPr>
          <w:trHeight w:val="33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AB29CD" w:rsidRPr="00AB29CD" w:rsidTr="0041179E">
        <w:trPr>
          <w:trHeight w:val="190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ветхого жилищного фонда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снесено по причине ветхости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снесено по причине аварийности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1 725 700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83 000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1 642 700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84 000  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1 805 300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83 600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1 721 700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106 800  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1 906 300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78 200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23 800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1 804 300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111 200  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B29CD" w:rsidRPr="00AB29CD" w:rsidTr="0041179E">
        <w:trPr>
          <w:trHeight w:val="33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2 352 500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CD" w:rsidRPr="00AB29CD" w:rsidRDefault="00AB29CD" w:rsidP="00AB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</w:tbl>
    <w:p w:rsidR="00CA0EE3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жилищного фонда города Ханты-Мансийска по состоянию на 01.01.2016 составляет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2150,5 тыс.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 из которой: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EE3" w:rsidRPr="009D109F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площадь ветхого жилищного фонда (с процентом износа конструктивных элементов здания свыше 65%) составляет 74,8 тыс.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>., что на 10,7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меньше чем в 2014 году;</w:t>
      </w:r>
    </w:p>
    <w:p w:rsidR="00CA0EE3" w:rsidRPr="009D109F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площадь аварийного жилищного фонда составляет 26,2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тыс.кв.м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, что на 2,8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тыс.кв.м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 больше чем в 2014 году.</w:t>
      </w:r>
    </w:p>
    <w:p w:rsidR="00CA0EE3" w:rsidRPr="009D109F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lastRenderedPageBreak/>
        <w:t>Площадь аварийного жилого фонда увеличилась в связи с активизацией собственников помещений в многоквартирных домах в инициировании процедуры признания многоквартирных домов аварийными и подлежащими сносу.</w:t>
      </w:r>
    </w:p>
    <w:p w:rsidR="00CA0EE3" w:rsidRPr="009D109F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t>Продолжена реализация мероприятий по ликвидации аварийного жилищного фонда.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09F">
        <w:rPr>
          <w:rFonts w:ascii="Times New Roman" w:eastAsia="Calibri" w:hAnsi="Times New Roman" w:cs="Times New Roman"/>
          <w:sz w:val="28"/>
          <w:szCs w:val="28"/>
        </w:rPr>
        <w:t>В 2015 году было снесено 9 аварийных домов общей площадью 4,2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>., что на 1,4 тыс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больше чем за 2014году.</w:t>
      </w:r>
    </w:p>
    <w:p w:rsidR="00CA0EE3" w:rsidRPr="009D109F" w:rsidRDefault="00CA0EE3" w:rsidP="00CA0E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9F">
        <w:rPr>
          <w:rFonts w:ascii="Times New Roman" w:eastAsia="Calibri" w:hAnsi="Times New Roman" w:cs="Times New Roman"/>
          <w:sz w:val="28"/>
          <w:szCs w:val="28"/>
        </w:rPr>
        <w:t>В 2015 году в эксплуатацию введено 18 многоквартирных домов общей площадью 120,1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>. и 19,9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>. индивидуального жилого фонда. За 2014 год было введено 111,2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09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D109F">
        <w:rPr>
          <w:rFonts w:ascii="Times New Roman" w:eastAsia="Calibri" w:hAnsi="Times New Roman" w:cs="Times New Roman"/>
          <w:sz w:val="28"/>
          <w:szCs w:val="28"/>
        </w:rPr>
        <w:t xml:space="preserve"> общей площади жилищного фонда.</w:t>
      </w:r>
    </w:p>
    <w:p w:rsidR="00AB29CD" w:rsidRPr="00AB29CD" w:rsidRDefault="00AB29CD" w:rsidP="00AB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D80" w:rsidRDefault="00207D80" w:rsidP="006736C6">
      <w:pPr>
        <w:spacing w:after="160" w:line="259" w:lineRule="auto"/>
        <w:rPr>
          <w:highlight w:val="yellow"/>
        </w:rPr>
      </w:pPr>
    </w:p>
    <w:p w:rsidR="00811B56" w:rsidRDefault="00811B56" w:rsidP="006736C6">
      <w:pPr>
        <w:spacing w:after="160" w:line="259" w:lineRule="auto"/>
        <w:rPr>
          <w:highlight w:val="yellow"/>
        </w:rPr>
        <w:sectPr w:rsidR="00811B56" w:rsidSect="00AA7E3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811B56" w:rsidRPr="00FC133B" w:rsidRDefault="00811B56" w:rsidP="006736C6">
      <w:pPr>
        <w:spacing w:after="160" w:line="259" w:lineRule="auto"/>
        <w:rPr>
          <w:highlight w:val="yellow"/>
        </w:rPr>
      </w:pPr>
    </w:p>
    <w:p w:rsidR="006736C6" w:rsidRDefault="00D747C7" w:rsidP="00D747C7">
      <w:pPr>
        <w:pStyle w:val="1"/>
        <w:numPr>
          <w:ilvl w:val="1"/>
          <w:numId w:val="1"/>
        </w:numPr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r w:rsidRPr="0041179E">
        <w:rPr>
          <w:rFonts w:ascii="Times New Roman" w:eastAsia="Calibri" w:hAnsi="Times New Roman" w:cs="Times New Roman"/>
          <w:color w:val="auto"/>
          <w:lang w:eastAsia="ru-RU"/>
        </w:rPr>
        <w:t>Охрана прав граждан и юридических лиц</w:t>
      </w:r>
    </w:p>
    <w:p w:rsidR="00B3207F" w:rsidRDefault="00B3207F" w:rsidP="00B3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07F" w:rsidRP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в суды поступило 28 обращений физических и юридических лиц по обжалованию действий (бездействий) органов Администрации города </w:t>
      </w:r>
      <w:r w:rsidR="008737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Ханты-Мансийска, что на 17,6% меньше по сравнению по итогам работы 2014 года </w:t>
      </w:r>
      <w:r w:rsidR="008737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(34 обращения). Из общего числа обращений, основную долю 85,7% </w:t>
      </w:r>
      <w:r w:rsidR="003D2F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(24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 составляют обращения физических лиц, что 20% меньше по сравнению по итогам работы 2014 года (30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207F" w:rsidRP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Доля обращений юридических лиц от общего числа незначительна </w:t>
      </w:r>
      <w:r w:rsidR="003D2F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и составляет 14,2%. Вместе с тем таких обращений в суды поступило в три раза больше чем в 2014 году (4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207F" w:rsidRP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>Всего в 2015 году по результатам рассмотрения обращений, судами удовлетворено 13, что 45,8% меньше в сравнении с 2014 годом (24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), данный показатель имеет положительную динамику. Количество отказов </w:t>
      </w:r>
      <w:r w:rsidR="003D2F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в удовлетворении осталось на уровне 2014 года (10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отказов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207F" w:rsidRP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Доля удовлетворенных обращений в 2015 году составляет 46,4% </w:t>
      </w:r>
      <w:r w:rsidR="003D2F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(13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 от общего количества обращения (28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), а в 2014 году это</w:t>
      </w:r>
      <w:r w:rsidR="0087375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 составил 70,5% (всего поступило 34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, из них удовлетворено 24). Данный показатель также имеет положительную динамику.</w:t>
      </w:r>
    </w:p>
    <w:p w:rsidR="00B3207F" w:rsidRP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обращений из общего числа составляют обращения в сфере жилищных и земельных отношений 67,8% (19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), что на 9,5% меньше по сравнению с 2014 годом (21</w:t>
      </w:r>
      <w:r w:rsidR="000563C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), из них:</w:t>
      </w:r>
    </w:p>
    <w:p w:rsidR="00B3207F" w:rsidRPr="00B3207F" w:rsidRDefault="000563C8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3207F" w:rsidRPr="00B3207F">
        <w:rPr>
          <w:rFonts w:ascii="Times New Roman" w:hAnsi="Times New Roman" w:cs="Times New Roman"/>
          <w:sz w:val="28"/>
          <w:szCs w:val="28"/>
          <w:lang w:eastAsia="ru-RU"/>
        </w:rPr>
        <w:t>удовлетворено - 12, что на 33% меньше 2014 года (18</w:t>
      </w:r>
      <w:r w:rsidR="0083145F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3207F" w:rsidRPr="00B320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207F" w:rsidRPr="00B3207F" w:rsidRDefault="0083145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3207F"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отказано в удовлетворении – 5, что на 66,6% больше 2014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3207F" w:rsidRPr="00B3207F">
        <w:rPr>
          <w:rFonts w:ascii="Times New Roman" w:hAnsi="Times New Roman" w:cs="Times New Roman"/>
          <w:sz w:val="28"/>
          <w:szCs w:val="28"/>
          <w:lang w:eastAsia="ru-RU"/>
        </w:rPr>
        <w:t>(3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B3207F" w:rsidRPr="00B3207F">
        <w:rPr>
          <w:rFonts w:ascii="Times New Roman" w:hAnsi="Times New Roman" w:cs="Times New Roman"/>
          <w:sz w:val="28"/>
          <w:szCs w:val="28"/>
          <w:lang w:eastAsia="ru-RU"/>
        </w:rPr>
        <w:t>), что также показывает положительную динамику.</w:t>
      </w:r>
    </w:p>
    <w:p w:rsidR="00B3207F" w:rsidRDefault="00B3207F" w:rsidP="00B3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07F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показателей обжалованных в суды действий (бездействий) органов Администрации города Ханты-Мансийска в 2015 году свидетельствует </w:t>
      </w:r>
      <w:r w:rsidR="003D2F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07F">
        <w:rPr>
          <w:rFonts w:ascii="Times New Roman" w:hAnsi="Times New Roman" w:cs="Times New Roman"/>
          <w:sz w:val="28"/>
          <w:szCs w:val="28"/>
          <w:lang w:eastAsia="ru-RU"/>
        </w:rPr>
        <w:t>о том, что деятельность органов Администрации города Ханты-Мансийска была эффективней по сравнению с 2014 годом.</w:t>
      </w:r>
    </w:p>
    <w:p w:rsidR="00B3207F" w:rsidRPr="00B3207F" w:rsidRDefault="00B3207F" w:rsidP="00B3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07F" w:rsidRDefault="00B3207F" w:rsidP="00B3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B3207F" w:rsidSect="00B3207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3207F" w:rsidRPr="00B3207F" w:rsidRDefault="00B3207F" w:rsidP="00B3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7C7" w:rsidRPr="0041179E" w:rsidRDefault="00D747C7" w:rsidP="00D747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179E">
        <w:rPr>
          <w:rFonts w:ascii="Times New Roman" w:hAnsi="Times New Roman" w:cs="Times New Roman"/>
          <w:sz w:val="28"/>
          <w:szCs w:val="28"/>
        </w:rPr>
        <w:t>Таблица 2</w:t>
      </w:r>
    </w:p>
    <w:p w:rsidR="00D747C7" w:rsidRPr="0041179E" w:rsidRDefault="00D747C7" w:rsidP="00D7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72"/>
      <w:bookmarkEnd w:id="5"/>
      <w:r w:rsidRPr="0041179E">
        <w:rPr>
          <w:rFonts w:ascii="Times New Roman" w:hAnsi="Times New Roman" w:cs="Times New Roman"/>
          <w:sz w:val="28"/>
          <w:szCs w:val="28"/>
        </w:rPr>
        <w:t>Количество допущенных нарушений прав граждан</w:t>
      </w:r>
    </w:p>
    <w:p w:rsidR="00D747C7" w:rsidRPr="0041179E" w:rsidRDefault="00D747C7" w:rsidP="00D7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E">
        <w:rPr>
          <w:rFonts w:ascii="Times New Roman" w:hAnsi="Times New Roman" w:cs="Times New Roman"/>
          <w:sz w:val="28"/>
          <w:szCs w:val="28"/>
        </w:rPr>
        <w:t>и юридических лиц, подтвержденных судебными актами</w:t>
      </w:r>
    </w:p>
    <w:p w:rsidR="00D747C7" w:rsidRPr="0041179E" w:rsidRDefault="00D747C7" w:rsidP="00D7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E">
        <w:rPr>
          <w:rFonts w:ascii="Times New Roman" w:hAnsi="Times New Roman" w:cs="Times New Roman"/>
          <w:sz w:val="28"/>
          <w:szCs w:val="28"/>
        </w:rPr>
        <w:t>____город Ханты-Мансийск______________</w:t>
      </w:r>
    </w:p>
    <w:p w:rsidR="00D747C7" w:rsidRDefault="00D747C7" w:rsidP="00D7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E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B3207F" w:rsidRPr="0041179E" w:rsidRDefault="00B3207F" w:rsidP="00D7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49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67"/>
        <w:gridCol w:w="599"/>
      </w:tblGrid>
      <w:tr w:rsidR="0041179E" w:rsidRPr="0041179E" w:rsidTr="00493095">
        <w:trPr>
          <w:jc w:val="center"/>
        </w:trPr>
        <w:tc>
          <w:tcPr>
            <w:tcW w:w="993" w:type="dxa"/>
            <w:vMerge w:val="restart"/>
            <w:vAlign w:val="center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809" w:type="dxa"/>
            <w:gridSpan w:val="6"/>
            <w:vMerge w:val="restart"/>
            <w:vAlign w:val="center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11390" w:type="dxa"/>
            <w:gridSpan w:val="18"/>
            <w:vAlign w:val="center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  <w:vMerge/>
          </w:tcPr>
          <w:p w:rsidR="0041179E" w:rsidRPr="0041179E" w:rsidRDefault="0041179E" w:rsidP="00411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6"/>
            <w:vMerge/>
          </w:tcPr>
          <w:p w:rsidR="0041179E" w:rsidRPr="0041179E" w:rsidRDefault="0041179E" w:rsidP="00411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6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798" w:type="dxa"/>
            <w:gridSpan w:val="6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798" w:type="dxa"/>
            <w:gridSpan w:val="6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  <w:vMerge/>
          </w:tcPr>
          <w:p w:rsidR="0041179E" w:rsidRPr="0041179E" w:rsidRDefault="0041179E" w:rsidP="00411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4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4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4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4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6" w:type="dxa"/>
            <w:gridSpan w:val="2"/>
          </w:tcPr>
          <w:p w:rsidR="0041179E" w:rsidRPr="0041179E" w:rsidRDefault="0083145F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  <w:vMerge/>
          </w:tcPr>
          <w:p w:rsidR="0041179E" w:rsidRPr="0041179E" w:rsidRDefault="0041179E" w:rsidP="00411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2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</w:t>
            </w:r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63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67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99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пред-</w:t>
            </w: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принимательство</w:t>
            </w:r>
            <w:proofErr w:type="spellEnd"/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строи-</w:t>
            </w: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</w:t>
            </w: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анение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жилищныеи</w:t>
            </w:r>
            <w:proofErr w:type="spellEnd"/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земельные отношения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 территории города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179E" w:rsidRPr="0041179E" w:rsidTr="00493095">
        <w:trPr>
          <w:jc w:val="center"/>
        </w:trPr>
        <w:tc>
          <w:tcPr>
            <w:tcW w:w="993" w:type="dxa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64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41179E" w:rsidRPr="0041179E" w:rsidRDefault="0041179E" w:rsidP="0041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4DB" w:rsidRPr="0041179E" w:rsidRDefault="00AE34DB" w:rsidP="00D747C7">
      <w:pPr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AE34DB" w:rsidRPr="00FC133B" w:rsidRDefault="00AE34DB" w:rsidP="00D747C7">
      <w:pPr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93095" w:rsidRDefault="00493095" w:rsidP="00D747C7">
      <w:pP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493095" w:rsidSect="00AA7E3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EB4435" w:rsidRPr="00812A56" w:rsidRDefault="00EB4435" w:rsidP="00A367A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r w:rsidRPr="00812A56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</w:t>
      </w:r>
    </w:p>
    <w:p w:rsidR="00BE476E" w:rsidRPr="00FC133B" w:rsidRDefault="00BE476E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992"/>
        <w:gridCol w:w="932"/>
        <w:gridCol w:w="1194"/>
        <w:gridCol w:w="1134"/>
        <w:gridCol w:w="1134"/>
        <w:gridCol w:w="1134"/>
        <w:gridCol w:w="1134"/>
        <w:gridCol w:w="1134"/>
        <w:gridCol w:w="2976"/>
      </w:tblGrid>
      <w:tr w:rsidR="00D9410A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Единицы измерения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в докладе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9410A" w:rsidRPr="00D9410A" w:rsidTr="006B4369">
        <w:trPr>
          <w:trHeight w:val="31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410A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0A" w:rsidRPr="00D9410A" w:rsidRDefault="00D9410A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0A" w:rsidRPr="004F2B70" w:rsidRDefault="00D9410A" w:rsidP="004F2B7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Экономическое развитие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1768C" w:rsidP="0011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1768C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1768C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1768C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106947" w:rsidRDefault="00106947" w:rsidP="0010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Данный показатель зависти от роста численности населения, которая за последнее время имеет тенденцию роста в среднем от 2,7 до 5%. В свою очередь увеличение численности населения имеет тенденцию роста и на перспективу до 2017 года. Кроме того, реализация мероприятий по поддержке СМП способствует увеличению количества СМП.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2015 год численность индивидуальных предпринимателей увеличилась на 3,7%. 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субъектов малого и среднего предпринимательства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1768C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11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176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11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</w:t>
            </w:r>
            <w:r w:rsidR="001176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11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r w:rsidR="001176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106947" w:rsidRDefault="00106947" w:rsidP="0010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показателей рассчитано на основании данных из программного комплекса «Запросная система Единого государственного Реестра ИП и ЮЛ 2008»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017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017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017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017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1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8F718D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8F718D" w:rsidP="008F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8F718D" w:rsidP="008F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11 301</w:t>
            </w:r>
            <w:r w:rsidR="00106947"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8F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F7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1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60 191,0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EF64D2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131 502,0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5D169B" w:rsidRDefault="00106947" w:rsidP="005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D169B" w:rsidRPr="005D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Снижение объема инвестиций обусловлено </w:t>
            </w:r>
            <w:r w:rsidR="005D169B" w:rsidRPr="005D169B">
              <w:rPr>
                <w:rFonts w:ascii="Times New Roman" w:eastAsia="Calibri" w:hAnsi="Times New Roman" w:cs="Times New Roman"/>
                <w:sz w:val="16"/>
                <w:szCs w:val="16"/>
              </w:rPr>
              <w:t>вывод</w:t>
            </w:r>
            <w:r w:rsidR="005D169B">
              <w:rPr>
                <w:rFonts w:ascii="Times New Roman" w:eastAsia="Calibri" w:hAnsi="Times New Roman" w:cs="Times New Roman"/>
                <w:sz w:val="16"/>
                <w:szCs w:val="16"/>
              </w:rPr>
              <w:t>ом</w:t>
            </w:r>
            <w:r w:rsidR="005D169B" w:rsidRPr="005D16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инвестиций по предприятиям, осуществляющим деятельность в сфере «Добыча полезных ископаемых» по месту фактического использования нефинансовых активов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3 203,6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3 425,6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F7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F7A7E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Неизвестные данные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34 222,9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65 531,5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62 682,1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учителей образовательных учреждений для детей дошкольного и младшего школьного возраста, начисленная из бюджетных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учителей образовательных учреждений для детей дошкольного и младшего школьного возраста, начисленная из внебюджетных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учителей общеобразовательных учреждений, начисленная из внебюджетных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Cреднегодовая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77 694,0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5019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36 854,9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47" w:rsidRPr="004F2B70" w:rsidRDefault="00106947" w:rsidP="004F2B7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1 - 6 лет, получающих дошкольную образовательную услугу и (или) услугу по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530AA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8E71BE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6947"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4E6D11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E6D11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4E6D11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47" w:rsidRPr="004F2B70" w:rsidRDefault="00106947" w:rsidP="004F2B7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Общее и дополнительное образование</w:t>
            </w:r>
          </w:p>
          <w:p w:rsidR="00106947" w:rsidRPr="00D9410A" w:rsidRDefault="00106947" w:rsidP="004F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выпускников, не сдавших ЕГЭ по русскому языку и математике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численность выпускников муниципальных общеобразовательных учреждений сдававших единый государственный экзамен по данному предмету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 выпускного класса общеобразовательных учреждений, не получивших аттестат о среднем (полном)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обучающихся выпускного класса </w:t>
            </w: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учреждений, не получивших аттестат о среднем (полном)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окончившие 11 класс (окончили с аттестатом о среднем (полном) общем образовании),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окончившие 12 класс,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выдержавших экзамены экстерном за курс средней школы и получивших аттестат о среднем (полном) общем образовании,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обучающихся, окончившие 11 класс (окончили с аттестатом о среднем (полном) общем образовании), </w:t>
            </w: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интернатные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обучающихся, окончившие 12 класс, </w:t>
            </w: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интернатные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общеобразовательные школы-интернаты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обучающихся, выдержавших экзамены экстерном за курс средней школы и получивших аттестат о среднем (полном) общем образовании, в </w:t>
            </w: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муниципальных общеобразовательных учреждений, соответствующих современным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поселениях, находящихся в аварийном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сельской местности, находящихся в аварийном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поселениях, здания которых требуют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сельской местности, здания которых требуют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 расположенных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 (всего)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125,3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1620 320,0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детей в возрасте 5-18 лет в городском округе (муниципальном районе)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47" w:rsidRPr="004F2B70" w:rsidRDefault="00106947" w:rsidP="004F2B7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Неизвестные данные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число посадочных мест в учреждениях культурно-досугового типа системы Минкультуры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залы МБУ "КДЦ "Октябрь" и КТЦ "Югра-Классик"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число посадочных мест в учреждениях культурно-досугового типа иных ведомств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зрительских мест в учреждениях культурно-досугового типа в соответствии с утвержденным нормативом, мест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отделов </w:t>
            </w: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внестанционарного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обслуживания (библиотечных пунктов)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20.3.1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20.3.2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321AED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32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21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47" w:rsidRPr="004F2B70" w:rsidRDefault="00106947" w:rsidP="004F2B7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обучающихся, систематически занимающихся физической культурой и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спортом, в общей численности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98,2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 в возрасте 0-17 лет на 1 января отчетного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E630B8" w:rsidRDefault="00106947" w:rsidP="00E630B8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30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 10 тыс. 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Неизвестные данные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 - в течение 3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47" w:rsidRPr="004F7E2F" w:rsidRDefault="00106947" w:rsidP="004F7E2F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7E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64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403E6" w:rsidRPr="0064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ЖК РФ собственники помещений выбирают УО и способ управления.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специализированным потребительским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149,0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64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403E6" w:rsidRPr="0064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ЖК РФ собственники помещений выбирают УО и способ управления.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(муниципального района) не более 25 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106947" w:rsidRDefault="00106947" w:rsidP="0010694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069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муниципального управления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AA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доли в 2015 году обусловлено передачей на уровень субъекта полномочий по реализации дошкольными образовательными организациями основных общеобразовательных программ дошкольного образования и поступлением средств на реализацию этих полномочий в бюджет города в виде субвенции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2909 076,5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2383 058,1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2356 695,8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2474 151,1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5608 982,9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4668 534,4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4855 005,8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3868 982,7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4025 289,6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33588 001,0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20447 950,0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17269 817,0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20095 125,0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22104 637,5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23209 869,4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1369 251,6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1358 100,0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Величина просроченной кредиторской задолженности по оплате труда (включая </w:t>
            </w: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начисления на оплату труда) муниципальных учреждений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3052 236,8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3720 800,1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3795 216,1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520 692,6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от числа опрошенных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2684E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2684E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101,1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106947" w:rsidRDefault="00106947" w:rsidP="0010694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069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Неизвестные данные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947" w:rsidRPr="00D9410A" w:rsidRDefault="00106947" w:rsidP="00C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килловат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час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826,95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киловатт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81314 124,0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81639 380,4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79436 833,2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77453 837,4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78854 906,4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95 356,0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 на 1кв. метр общей площади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потребленной тепловой энергии всеми МКД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Гигакалория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264 941,0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1494 864,5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1575 587,2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39.3.1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452 684,0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39.3.2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2494 946,6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2548 312,0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2546 851,0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2547 000,0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95 738,0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1192 873,5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1241 898,0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44 369,0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Неизвестные данные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килловат</w:t>
            </w:r>
            <w:proofErr w:type="spellEnd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час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киловатт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9785 578,0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10089 984,8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9968 905,0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9975 828,0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10119 012,9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 на 1кв. метр общей площади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Гигакалория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33 329,8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40.2.2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208 019,2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40.3.1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95 246,9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кубических метров на 1 проживающего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947" w:rsidRPr="00D9410A" w:rsidTr="006B4369">
        <w:trPr>
          <w:trHeight w:val="3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947" w:rsidRPr="00D9410A" w:rsidRDefault="00106947" w:rsidP="00D9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947" w:rsidRPr="00D9410A" w:rsidRDefault="00106947" w:rsidP="00D9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D6DF6" w:rsidRPr="00D9410A" w:rsidRDefault="008D6DF6" w:rsidP="00A367A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:rsidR="008D6DF6" w:rsidRPr="00FC133B" w:rsidRDefault="008D6DF6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p w:rsidR="008D6DF6" w:rsidRPr="00FC133B" w:rsidRDefault="008D6DF6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p w:rsidR="008D6DF6" w:rsidRPr="00FC133B" w:rsidRDefault="008D6DF6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p w:rsidR="008D6DF6" w:rsidRPr="00FC133B" w:rsidRDefault="008D6DF6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p w:rsidR="008D6DF6" w:rsidRPr="00FC133B" w:rsidRDefault="008D6DF6" w:rsidP="00A367AC">
      <w:pPr>
        <w:spacing w:after="0" w:line="240" w:lineRule="auto"/>
        <w:ind w:firstLine="709"/>
        <w:rPr>
          <w:highlight w:val="yellow"/>
          <w:lang w:eastAsia="ru-RU"/>
        </w:rPr>
      </w:pPr>
    </w:p>
    <w:p w:rsidR="00BE476E" w:rsidRPr="00FC133B" w:rsidRDefault="00BE476E" w:rsidP="00A367AC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highlight w:val="yellow"/>
          <w:lang w:eastAsia="ru-RU"/>
        </w:rPr>
        <w:sectPr w:rsidR="00BE476E" w:rsidRPr="00FC133B" w:rsidSect="00AA7E3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EB4435" w:rsidRPr="00EF1B9B" w:rsidRDefault="00EB4435" w:rsidP="00A367AC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EF1B9B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3. 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предоставляемых муниципальных услуг</w:t>
      </w:r>
    </w:p>
    <w:p w:rsidR="00EB4435" w:rsidRPr="00FC133B" w:rsidRDefault="00EB4435" w:rsidP="00A36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4435" w:rsidRDefault="00EB4435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Приведение муниципальных правовых актов в соответствие </w:t>
      </w:r>
      <w:r w:rsidR="0087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федеральным законодательством и законодательством автономного округа</w:t>
      </w:r>
    </w:p>
    <w:p w:rsidR="007A684C" w:rsidRPr="00EF1B9B" w:rsidRDefault="007A684C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3AD" w:rsidRPr="00350F0F" w:rsidRDefault="004F23AD" w:rsidP="004F2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приведению действующих муниципальных нормативных правовых актов в соответствие с федеральным законодательством и законодательством Ханты-Мансийского автономного округа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>Югры осуществляется в постоянном режиме</w:t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AD" w:rsidRPr="00350F0F" w:rsidRDefault="004F23AD" w:rsidP="004F23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города Ханты-Мансийска в течение года принято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50F0F"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>3007</w:t>
      </w: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правовых акт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>и законами Ханты-Мансийского автономного округа – Югры, по вопросам организации деятельности Администрации города.</w:t>
      </w:r>
    </w:p>
    <w:p w:rsidR="004F23AD" w:rsidRPr="007A684C" w:rsidRDefault="004F23AD" w:rsidP="004F23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приведения действующих муниципальных правовых актов 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федерального и регионального законодательства, в соответствии с</w:t>
      </w:r>
      <w:r w:rsidRPr="00350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Ханты-Мансийска </w:t>
      </w:r>
      <w:r w:rsidR="0053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17.11.2011 № 1308 «О мониторинге </w:t>
      </w:r>
      <w:proofErr w:type="spellStart"/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r w:rsidR="003D2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Ханты-Мансийске»</w:t>
      </w:r>
      <w:r w:rsidR="00350F0F" w:rsidRPr="0035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F0F" w:rsidRPr="00350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мониторинг муниципальных </w:t>
      </w:r>
      <w:r w:rsidR="00350F0F"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 правовых актов, изданных Администрацией города Ханты-Мансийска</w:t>
      </w:r>
      <w:r w:rsidRPr="007A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проводимой работы по данному направлению </w:t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D5512"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>498</w:t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действующих нормативных правовых актов, по результатам которой 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A684C"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>221</w:t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приведено в соответствие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законодательства, в том числе </w:t>
      </w:r>
      <w:r w:rsidR="007A684C"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93 </w:t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</w:t>
      </w:r>
      <w:r w:rsidR="005322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мониторинга на 201</w:t>
      </w:r>
      <w:r w:rsidR="007A684C"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A6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D95B29" w:rsidRPr="00FC133B" w:rsidRDefault="00D95B29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95B29" w:rsidRDefault="00D95B29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ED543A" w:rsidRPr="00ED543A" w:rsidRDefault="00ED543A" w:rsidP="00ED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09.02.2009 </w:t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№8-ФЗ «Об обеспечении доступа к информации о деятельности государственных органов и органов местного самоуправления» продолжена работа по развитию интерактивных сервисов Официального портала.</w:t>
      </w:r>
    </w:p>
    <w:p w:rsidR="00ED543A" w:rsidRPr="00ED543A" w:rsidRDefault="00ED543A" w:rsidP="00ED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по сравнению в 2014 годом почти в 3 раза увеличилось количество обращений граждан в органы Администрации города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посредством интерактивного сервиса «Улучшим наш город». Решены 122 заявки из 155, остальные находятся в работе.</w:t>
      </w:r>
    </w:p>
    <w:p w:rsidR="00ED543A" w:rsidRPr="00ED543A" w:rsidRDefault="00ED543A" w:rsidP="00ED54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на 62,4% по сравнению в 2014 годом увеличилось число горожан, подписанных на бесплатную СМС-рассылку о проводимых </w:t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мероприятиях, публичных слушаниях, актированных днях.</w:t>
      </w:r>
    </w:p>
    <w:p w:rsidR="00ED543A" w:rsidRPr="00ED543A" w:rsidRDefault="00ED543A" w:rsidP="00ED5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</w:rPr>
        <w:t xml:space="preserve">На 60% увеличилось количество </w:t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запросов на проверку очереди                       </w:t>
      </w:r>
      <w:r w:rsidR="0087375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детский сад </w:t>
      </w:r>
      <w:r w:rsidRPr="003D2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(рис. </w:t>
      </w:r>
      <w:r w:rsidR="003D2F8B" w:rsidRPr="003D2F8B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3D2F8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D543A" w:rsidRPr="00ED543A" w:rsidRDefault="00ED543A" w:rsidP="00ED543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Рис.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</w:p>
    <w:p w:rsidR="00ED543A" w:rsidRPr="00ED543A" w:rsidRDefault="00ED543A" w:rsidP="00ED54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677586" cy="3269894"/>
            <wp:effectExtent l="0" t="0" r="0" b="6985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D2F8B" w:rsidRDefault="003D2F8B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2015 год на Официальном портале зарегистрировано 2457 пользователей. А всего на Официальном портале зафиксировано 927314 уникальных посетителей, которые посетили 5926061 страницу. </w:t>
      </w: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Показателем хорошей работы по развитию и продвижению Официального портала стало присуждение в 2015 году Официальному порталу звания лучшего официального сайта по итогам окружного конкурса на лучший официальный сайт органа местного самоуправления муниципального образования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(2014 год - 2 место, </w:t>
      </w:r>
      <w:r w:rsidR="003D2F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2013 год - 1 место).</w:t>
      </w: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Победе в конкурсе способствовало в том числе, создание отдельного ресурса по публикации открытых данных - «Портала открытых данных города Ханты-Мансийска»</w:t>
      </w:r>
      <w:r w:rsidRPr="00ED543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 - единственное муниципальное образование автономного округа, которое имеет подобный ресурс. </w:t>
      </w: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 Портале размещено 30 наборов открытых данных, на основании которых разработаны мобильные приложения.</w:t>
      </w:r>
    </w:p>
    <w:p w:rsidR="00ED543A" w:rsidRP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качества муниципального управления в текущем году продолжена работа по совершенствованию системы электронного документооборота.</w:t>
      </w:r>
    </w:p>
    <w:p w:rsidR="00ED543A" w:rsidRDefault="00ED543A" w:rsidP="00D355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3A">
        <w:rPr>
          <w:rFonts w:ascii="Times New Roman" w:eastAsia="Calibri" w:hAnsi="Times New Roman" w:cs="Times New Roman"/>
          <w:sz w:val="28"/>
          <w:szCs w:val="28"/>
        </w:rPr>
        <w:t>В настоящее время охват органов Администрации города Ханты-Мансийска системой электронного документооборота составляет 100%.</w:t>
      </w:r>
    </w:p>
    <w:p w:rsidR="00EB11DA" w:rsidRPr="00512E7A" w:rsidRDefault="00EB11DA" w:rsidP="00EB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E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исполнения плана мероприятий («дорожной карты»)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(утвержденного распоряжением Правительства Российской Федерации от 14.02.2015 №236-р) в 2015 году осуществлены работы по интеграции информационных систем в сфере образования («Электронный Детский Сад», «Электронная школа») </w:t>
      </w:r>
      <w:r w:rsidR="003D2F8B">
        <w:rPr>
          <w:rFonts w:ascii="Times New Roman" w:eastAsia="Calibri" w:hAnsi="Times New Roman" w:cs="Times New Roman"/>
          <w:sz w:val="28"/>
          <w:szCs w:val="28"/>
        </w:rPr>
        <w:br/>
      </w:r>
      <w:r w:rsidRPr="00512E7A">
        <w:rPr>
          <w:rFonts w:ascii="Times New Roman" w:eastAsia="Calibri" w:hAnsi="Times New Roman" w:cs="Times New Roman"/>
          <w:sz w:val="28"/>
          <w:szCs w:val="28"/>
        </w:rPr>
        <w:t>с информационной системой «Регион. Контингент».</w:t>
      </w:r>
    </w:p>
    <w:p w:rsidR="00512E7A" w:rsidRPr="00512E7A" w:rsidRDefault="00512E7A" w:rsidP="00512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B29" w:rsidRPr="00790B66" w:rsidRDefault="00D95B29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</w:t>
      </w:r>
      <w:r w:rsidR="003D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79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медийная</w:t>
      </w:r>
      <w:proofErr w:type="spellEnd"/>
      <w:r w:rsidRPr="0079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</w:t>
      </w:r>
      <w:r w:rsidR="003D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населением.</w:t>
      </w:r>
    </w:p>
    <w:p w:rsidR="00B03809" w:rsidRPr="00B03809" w:rsidRDefault="00B03809" w:rsidP="00B03809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более чем 50 федеральными, окружными и местными средствами массовой информации, формирование городской информационной повестки и координация деятельности городских СМИ, а также изучение общественного мнения и получение обратной связи от населения - приоритетные направления работы управления общественных связей Администрации города Ханты-Мансийска (далее - Управление). Это структурное подразделение стало совершенно новым в Администрации города Ханты-Мансийска. Созданное </w:t>
      </w:r>
      <w:r w:rsidR="00532267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в 2011 году Управление проделало большую работу. </w:t>
      </w:r>
    </w:p>
    <w:p w:rsidR="00B03809" w:rsidRPr="00B03809" w:rsidRDefault="00B03809" w:rsidP="00B038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задач в сфере развития средств массовых коммуникаций </w:t>
      </w:r>
      <w:r w:rsidR="003D2F8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и выстраивания взаимодействия с общественными организациями на территории города Ханты-Мансийска в 2012 году была принята муниципальная программа </w:t>
      </w:r>
      <w:r w:rsidRPr="00B0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средств массовых коммуникаций города Ханты-Мансийска на 2013-2017 годы». 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Основная ее цель - создание условий для развития городских средств массовой информации, повышение мотивации журналистов к творческой </w:t>
      </w:r>
      <w:r w:rsidR="003D2F8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>и профессиональной деятельности,</w:t>
      </w:r>
      <w:r w:rsidRPr="00B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формированию благоприятного имиджа города Ханты-Мансийска посредством проведения целенаправленной эффективной информационной политики Администрации города </w:t>
      </w:r>
      <w:r w:rsidR="003D2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и коммуникации с населением города.</w:t>
      </w:r>
    </w:p>
    <w:p w:rsidR="00B03809" w:rsidRPr="00B03809" w:rsidRDefault="00B03809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В связи с ростом популярности </w:t>
      </w:r>
      <w:proofErr w:type="spellStart"/>
      <w:r w:rsidRPr="00B03809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 как средств массовой информации, взаимодействие с электронными СМИ стало приоритетным направлением деятельности Управления.</w:t>
      </w:r>
    </w:p>
    <w:p w:rsidR="00B03809" w:rsidRPr="00B03809" w:rsidRDefault="00B03809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В рамках информирования жителей города о деятельности органов местного самоуправления за январь-декабрь 2015 года (рис. </w:t>
      </w:r>
      <w:r w:rsidR="00F3558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B03809" w:rsidRPr="00B03809" w:rsidRDefault="00532267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и размещено в СМИ и </w:t>
      </w:r>
      <w:proofErr w:type="spellStart"/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>3870 информационных материалов (за 2014 год - 3562), что на 8,6% больше                 по сравнению с 2014 годом и на 84,8% по сравнению с 2012 годом, в том числе:</w:t>
      </w:r>
    </w:p>
    <w:p w:rsidR="00B03809" w:rsidRPr="00B03809" w:rsidRDefault="00532267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портале - 1730 информационных материалов (за 2014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 1554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809" w:rsidRDefault="00532267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в городских СМИ - 1820 материалов (за 2014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 xml:space="preserve"> 1649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5587" w:rsidRPr="00B03809" w:rsidRDefault="00F35587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809" w:rsidRPr="00B03809" w:rsidRDefault="00532267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федеральных и региональных СМИ по информационным договорам сотрудничества - 365 материалов (за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B03809"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3809" w:rsidRPr="00B03809" w:rsidRDefault="00B03809" w:rsidP="00B038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</w:t>
      </w:r>
      <w:r w:rsidR="00F35587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</w:p>
    <w:p w:rsidR="00B03809" w:rsidRPr="00B03809" w:rsidRDefault="00F35587" w:rsidP="00B038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472ABE" wp14:editId="453F6582">
            <wp:simplePos x="0" y="0"/>
            <wp:positionH relativeFrom="column">
              <wp:posOffset>259715</wp:posOffset>
            </wp:positionH>
            <wp:positionV relativeFrom="paragraph">
              <wp:posOffset>209550</wp:posOffset>
            </wp:positionV>
            <wp:extent cx="5592445" cy="3598545"/>
            <wp:effectExtent l="0" t="0" r="8255" b="1905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С целью более широкого освещения деятельности органов местного самоуправления к 2015 году планировалось достичь показателя «Количество размещенных пресс-релизов на Официальном информационном портале органов местного самоуправления города Ханты-Мансийска» - 1500. Но уже в 2014 году Управлением было подготовлено и направлено в СМИ - 1554 пресс-релиза, </w:t>
      </w:r>
      <w:r w:rsidR="00532267">
        <w:rPr>
          <w:rFonts w:ascii="Times New Roman" w:eastAsia="Calibri" w:hAnsi="Times New Roman" w:cs="Times New Roman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sz w:val="28"/>
          <w:szCs w:val="28"/>
        </w:rPr>
        <w:t>а в 2015 году этот показатель достиг - 1730.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Востребованность и актуальность этой работы показывает тот факт, </w:t>
      </w:r>
      <w:r w:rsidR="00F355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многие пресс-релизы публиковали несколько СМИ, зачастую в неизменном виде, что свидетельствует о качестве их подготовки. Информация подавалась интересно, профессионально, СМИ охотно цитировали и распространяли             ее как готовый журналистский материал.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>Кроме того, Управлением осуществляется координация деятельности учрежденного органами власти местного самоуправления муниципального бюджетного учреждения «Городской информационный центр» (далее - Городской информационный центр), с помощью которого реализуются основные информационные проекты.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Телевидение Ханты-Мансийска «Новая студия» вещает на канале «СТС» </w:t>
      </w:r>
      <w:r w:rsidR="0053226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раз в неделю. Потенциальная аудитория, по экспертным оценкам - 87 тыс. чел.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Городская газета «</w:t>
      </w:r>
      <w:proofErr w:type="spellStart"/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Самарово</w:t>
      </w:r>
      <w:proofErr w:type="spellEnd"/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Ханты-Мансийск» распространяется               на территории города </w:t>
      </w: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тиражом 6000 экз.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2014 году - 5900 экз.) </w:t>
      </w:r>
      <w:r w:rsidR="00F355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периодичностью 1 раз в неделю, ее объем - 32 полосы.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2015 году редакцией газеты было осуществлено несколько проектов, которые позволили не только расширить аудиторию, но и вовлечь горожан              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общественно-политическую жизнь Ханты-Мансийска. Первый проект </w:t>
      </w:r>
      <w:r w:rsidR="00F355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под названием «Сказки о Ханты-Мансийске» был направлен на развитие                       и поощрение творческих способностей детей города в возрасте от 2 до 14 лет. Детям предлагалось написать необычную сказку об окружной столице.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юбилею Победы в Великой Отечественной войне был опубликован цикл статей о малоизвестных и забытых героях, которыми гордится наша страна, </w:t>
      </w:r>
      <w:r w:rsidR="00F355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а также воспоминания ветеранов, блокадников, тружеников тыла, детей войны.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в течение всего года в рубрике «Люди земли </w:t>
      </w:r>
      <w:proofErr w:type="spellStart"/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югорской</w:t>
      </w:r>
      <w:proofErr w:type="spellEnd"/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публиковались материалы о людях разных профессий, внесших свой вклад               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в развитие Ханты-Мансийска и Ханты-Мансийского автономного округа – Югры.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Городским информационным центром осуществлено производство 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и выход в эфир (печать) более 3000 оригинальных журналистских материалов. Приоритетными темами освещения в 2015 году стали: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жилищная политика - 25%,</w:t>
      </w:r>
      <w:r w:rsidR="00D60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>ЖКХ - 21%, социальная политика - 17%,</w:t>
      </w:r>
      <w:r w:rsidR="00D60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-патриотическое воспитание - 13%,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правонарушений - 11%,</w:t>
      </w:r>
      <w:r w:rsidR="00D60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-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9%.</w:t>
      </w:r>
    </w:p>
    <w:p w:rsidR="00B03809" w:rsidRPr="00B03809" w:rsidRDefault="00B03809" w:rsidP="00B038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в рамках реализации муниципальной программы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 «Развитие средств массовых коммуникаций города Ханты-Мансийска на 2013-2017 годы»</w:t>
      </w:r>
      <w:r w:rsidR="0087375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 с целью поддержки и мотивации </w:t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журналистов городских и окружных СМИ </w:t>
      </w:r>
      <w:r w:rsid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освещению деятельности городской власти, основных проблем и событий городской жизни Управлением был организован и проведен конкурс профессионального журналистского мастерства «Журналист года-2015», в котором приняли участие более 20 авторов, представивших на суд жюри </w:t>
      </w:r>
      <w:r w:rsidR="00F3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>48 работ различного жанра.</w:t>
      </w:r>
    </w:p>
    <w:p w:rsidR="00B03809" w:rsidRPr="00B03809" w:rsidRDefault="00B03809" w:rsidP="00B038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</w:t>
      </w:r>
      <w:r w:rsidRPr="00B0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казана информационная поддержка таким социально значимым проектам как: 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городская молодежная акция «Мы выбираем будущее», летняя оздоровительная кампания, зимняя </w:t>
      </w:r>
      <w:proofErr w:type="spellStart"/>
      <w:r w:rsidRPr="00B03809">
        <w:rPr>
          <w:rFonts w:ascii="Times New Roman" w:eastAsia="Times New Roman" w:hAnsi="Times New Roman" w:cs="Times New Roman"/>
          <w:sz w:val="28"/>
          <w:szCs w:val="28"/>
        </w:rPr>
        <w:t>Сурдлимпиада</w:t>
      </w:r>
      <w:proofErr w:type="spellEnd"/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, финал Кубка мира </w:t>
      </w:r>
      <w:r w:rsidR="00F514C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по биатлону, мероприятиям по подготовке и проведению празднования 70-летия Победы в Великой Отечественной войне (122 эксклюзивных материала, посвященных этому юбилею выпустило в СМИ Городской информационный центр), а также реализован туристско-информационный проект «Ханты-Мансийск - Новогодняя столица». Проведены информационные компании с целью продвижения Дня государственного флага и региональной акции «Под флагом моей страны»; акций «Благодарю за мир» и «Спасибо за победу!», </w:t>
      </w:r>
      <w:r w:rsidR="00F514C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Дня физкультурника; фестиваля «Славим человека труда», </w:t>
      </w:r>
      <w:r w:rsidRPr="00B038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 городской сельскохозяйственной ярмарки «Дары осени».</w:t>
      </w:r>
    </w:p>
    <w:p w:rsidR="00B03809" w:rsidRPr="00B03809" w:rsidRDefault="00B03809" w:rsidP="00B03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Ведущим электронным каналом, содержащим и распространяющим информацию о деятельности Администрации города Ханты-Мансийска и Думы города Ханты-Мансийска, городских событиях, - Официальный портал </w:t>
      </w:r>
      <w:r w:rsidR="00F514C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города Ханты-Мансийска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«Рамблер </w:t>
      </w:r>
      <w:r w:rsidR="00F51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топ-100» среди веб-порталов официальных органов власти к началу 2016 года </w:t>
      </w:r>
      <w:r w:rsidR="00F51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занял 9 строку, поднявшись в сравнении с 2014 годом на одну позицию. </w:t>
      </w:r>
      <w:r w:rsidR="00F51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 фиксируются около 2 тысяч уникальных посетителей, 8 тысяч просмотров в неделю - эти цифры сохраняются на протяжении последних двух лет.</w:t>
      </w:r>
      <w:r w:rsidRPr="00B03809">
        <w:rPr>
          <w:rFonts w:ascii="Times New Roman" w:eastAsia="Times New Roman" w:hAnsi="Times New Roman" w:cs="Times New Roman"/>
          <w:sz w:val="28"/>
          <w:szCs w:val="28"/>
        </w:rPr>
        <w:t xml:space="preserve"> Этому способствуют качественное наполнение сайта, своевременная актуализация информации и в особенности то, что в 2015 году в соответствии </w:t>
      </w:r>
      <w:r w:rsidR="00F514CB">
        <w:rPr>
          <w:rFonts w:ascii="Times New Roman" w:eastAsia="Times New Roman" w:hAnsi="Times New Roman" w:cs="Times New Roman"/>
          <w:sz w:val="28"/>
          <w:szCs w:val="28"/>
        </w:rPr>
        <w:br/>
      </w:r>
      <w:r w:rsidRPr="00B038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заключенным соглашением, новости, размещаемые на Официальном портале, индексируются поисковой системой «Яндекс».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Еще одним направлением деятельности Управления в рамках работы </w:t>
      </w:r>
      <w:r w:rsidR="00F514CB">
        <w:rPr>
          <w:rFonts w:ascii="Times New Roman" w:eastAsia="Calibri" w:hAnsi="Times New Roman" w:cs="Times New Roman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по организации обратной связи с населением города является подготовка совместно с органами Администрации города Ханты-Мансийска ответов </w:t>
      </w:r>
      <w:r w:rsidR="00F514CB">
        <w:rPr>
          <w:rFonts w:ascii="Times New Roman" w:eastAsia="Calibri" w:hAnsi="Times New Roman" w:cs="Times New Roman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на вопросы ханты-мансийцев в рубрике «Вопрос-ответ» на Официальном портале.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Рубрика является востребованной, так, в 2015 году поступило 462 вопроса, что на 217% больше аналогичного периода 2014 года.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Социологические исследования - важный инструмент обратной связи              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населением.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>Систематически Управлением организуются и проводятся анкетирование, онлайн и телефонные опросы общественного мнения с целью выявления уровня доверия населения к деятельности муниципальных органов власти.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2015 году был проведен онлайн-опрос населения, в котором участвовало 456 человек.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Главными достижениями деятельности Администрации города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Ханты-Мансийска в 2015 году, по мнению населения, стали: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строительство нового жилья 63% (за 2014 год - 41,4%);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строительство социальных объектов и снос ветхого жилья - 45% и 43% соответственно (в 2014 году - 36,7% и 26,3%);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sz w:val="28"/>
          <w:szCs w:val="28"/>
        </w:rPr>
        <w:t>решение проблемы нехватки мест в детских садах - 49% (в 2014 году - 26,1%);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60% участников опроса заявило о доверии к органам местного самоуправления города (в 2014 году - 50,4%). Средняя оценка деятельности органов местного самоуправления п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пятибалльной шкале составила </w:t>
      </w:r>
      <w:r w:rsidR="00B03809"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3,4 балла </w:t>
      </w:r>
      <w:r w:rsidR="008737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B03809"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2014 году- 3,28 балла). 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Кризисные проявления в стране, которые </w:t>
      </w:r>
      <w:r w:rsidR="00BB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дали о себе знать еще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>во второй половине 2014 года, продолжились и в 2015 году. Тем не менее, уровень социального самочувствия жителей Ханты-Мансийска остался на достаточно высоком уровне - 56,6% респондентов не отметили негативных тенденций в городской жизни (в 2014 году более 60%). 30% участников проведенного исследования высказ</w:t>
      </w:r>
      <w:r w:rsidR="00BB4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ало мнение, что жизнь в городе </w:t>
      </w:r>
      <w:r w:rsidRPr="00B03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последние два года изменилась в лучшую сторону; 26,7% считает, что осталась без изменений. </w:t>
      </w:r>
    </w:p>
    <w:p w:rsid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>В связи с вышеизложенным следует констатировать в целом достаточно высокий уровень оценки населением эффективности и открытости деятельности органов местного самоуправления города Ханты-Мансийска в 2015 году.</w:t>
      </w:r>
    </w:p>
    <w:p w:rsidR="00B03809" w:rsidRPr="00B03809" w:rsidRDefault="00B03809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809">
        <w:rPr>
          <w:rFonts w:ascii="Times New Roman" w:eastAsia="Calibri" w:hAnsi="Times New Roman" w:cs="Times New Roman"/>
          <w:sz w:val="28"/>
          <w:szCs w:val="28"/>
        </w:rPr>
        <w:t xml:space="preserve">В 2016 году приоритетными задачами Управления станут: 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sz w:val="28"/>
          <w:szCs w:val="28"/>
        </w:rPr>
        <w:t>концептуальное преобразование работы муниципального бюджетного учреждения «Городской информационный центр» в части изменения формата и увеличения количества оригинальных телепрограмм, создания информационно-аналитического портала;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3809" w:rsidRPr="00B03809">
        <w:rPr>
          <w:rFonts w:ascii="Times New Roman" w:eastAsia="Calibri" w:hAnsi="Times New Roman" w:cs="Times New Roman"/>
          <w:sz w:val="28"/>
          <w:szCs w:val="28"/>
        </w:rPr>
        <w:t xml:space="preserve">координация и продвижение вопросов местного самоуправления                    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="00B03809" w:rsidRPr="00B03809">
        <w:rPr>
          <w:rFonts w:ascii="Times New Roman" w:eastAsia="Calibri" w:hAnsi="Times New Roman" w:cs="Times New Roman"/>
          <w:sz w:val="28"/>
          <w:szCs w:val="28"/>
        </w:rPr>
        <w:t>в социальных сетях и городском форуме;</w:t>
      </w:r>
    </w:p>
    <w:p w:rsidR="00B03809" w:rsidRPr="00B03809" w:rsidRDefault="00F514CB" w:rsidP="00B03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03809" w:rsidRPr="00B03809">
        <w:rPr>
          <w:rFonts w:ascii="Times New Roman" w:eastAsia="Calibri" w:hAnsi="Times New Roman" w:cs="Times New Roman"/>
          <w:sz w:val="28"/>
          <w:szCs w:val="28"/>
        </w:rPr>
        <w:t xml:space="preserve">переход на </w:t>
      </w:r>
      <w:proofErr w:type="spellStart"/>
      <w:r w:rsidR="00B03809" w:rsidRPr="00B03809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="00B03809" w:rsidRPr="00B03809">
        <w:rPr>
          <w:rFonts w:ascii="Times New Roman" w:eastAsia="Calibri" w:hAnsi="Times New Roman" w:cs="Times New Roman"/>
          <w:sz w:val="28"/>
          <w:szCs w:val="28"/>
        </w:rPr>
        <w:t xml:space="preserve"> систему поддержки средств массовой информации и социально-ориентированных некоммерческих организаций.</w:t>
      </w:r>
    </w:p>
    <w:p w:rsidR="005C0A64" w:rsidRPr="00FC133B" w:rsidRDefault="005C0A64" w:rsidP="004B7A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7" w:name="_3._Исполнение_отдельных"/>
      <w:bookmarkEnd w:id="7"/>
    </w:p>
    <w:p w:rsidR="00D95B29" w:rsidRPr="00D355FD" w:rsidRDefault="00D95B29" w:rsidP="00A3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</w:t>
      </w:r>
      <w:r w:rsidR="0033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3C08A7" w:rsidRPr="003C08A7" w:rsidRDefault="003C08A7" w:rsidP="00070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органами Администрации города Ханты-Мансийска проведена работа по совершенствованию нормативного правового регулирования предоставления муниципальных услуг. </w:t>
      </w: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предоставляемых органами местного самоуправления государственных и муниципальных услуг составляет 58</w:t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28 административных регламентов предоставления муниципальных услуг. Изменения вносились в связи с необходимостью приведения регламентов в соответствие с действующим законодательством, </w:t>
      </w:r>
      <w:r w:rsidR="00337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увеличения количества услуг, предоставляемых по принципу «одного окна» в автономном учреждении Ханты-Мансийского автономного округа - Югры «Многофункциональный центр предоставления государственных </w:t>
      </w:r>
      <w:r w:rsidR="00337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3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</w:t>
      </w: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МФЦ Югры)</w:t>
      </w:r>
      <w:r w:rsidRPr="003C0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A7" w:rsidRPr="003C08A7" w:rsidRDefault="003C08A7" w:rsidP="00070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заявителей, получивших муниципальные услуги, предоставленные органами Администрации города Ханты-Мансийска в 2015 году, составило 25292, что на 12% больше по сравнению с 2014 годом.</w:t>
      </w:r>
    </w:p>
    <w:p w:rsidR="003C08A7" w:rsidRPr="003C08A7" w:rsidRDefault="003C08A7" w:rsidP="00070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внесены изменения в Соглашение о взаимодействии между Администрацией города Ханты-Мансийска и МФЦ Югры. В соответствии               </w:t>
      </w:r>
      <w:r w:rsidR="00BB4A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новым Соглашением в МФЦ Югры в настоящее время можно получить               </w:t>
      </w:r>
      <w:r w:rsidR="00BB4A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>22 муниципальные услуги (</w:t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в 2013 году - 7 муниципальных услуг, в 2014 году -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16 услуг).</w:t>
      </w:r>
    </w:p>
    <w:p w:rsid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портале государственных услуг доступны для получения в электронном виде 34 услуги (рис. </w:t>
      </w:r>
      <w:r w:rsidR="00661691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3C08A7">
        <w:rPr>
          <w:rFonts w:ascii="Times New Roman" w:eastAsia="Calibri" w:hAnsi="Times New Roman" w:cs="Times New Roman"/>
          <w:color w:val="000000"/>
          <w:sz w:val="28"/>
          <w:szCs w:val="28"/>
        </w:rPr>
        <w:t>), предоставляемые органами Администрации города Ханты-Мансийска.</w:t>
      </w:r>
    </w:p>
    <w:p w:rsidR="001A74C6" w:rsidRPr="001A74C6" w:rsidRDefault="001A74C6" w:rsidP="001A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начала 2015 года реализовано предоставление следующих услуг </w:t>
      </w:r>
      <w:r w:rsidR="00BB4A1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электронном виде:</w:t>
      </w:r>
    </w:p>
    <w:p w:rsidR="001A74C6" w:rsidRPr="001A74C6" w:rsidRDefault="001A74C6" w:rsidP="001A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>- зачисление в образовательную организацию. С момента запуска такой возможностью воспользовались более 120 жителей города, что составило более 10% от общего числа поданных заявлений в школы;</w:t>
      </w:r>
    </w:p>
    <w:p w:rsidR="00337895" w:rsidRDefault="001A74C6" w:rsidP="001A7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предоставление информации о текущей успеваемости учащегося, ведение электронного дневника и электронного журнала успеваемости. С начала нового учебного года любой родитель города, зарегистрированный на портале </w:t>
      </w:r>
      <w:proofErr w:type="spellStart"/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1A74C6">
        <w:rPr>
          <w:rFonts w:ascii="Times New Roman" w:eastAsia="Calibri" w:hAnsi="Times New Roman" w:cs="Times New Roman"/>
          <w:color w:val="000000"/>
          <w:sz w:val="28"/>
          <w:szCs w:val="28"/>
        </w:rPr>
        <w:t>, может воспользоваться этой услугой.</w:t>
      </w:r>
    </w:p>
    <w:p w:rsidR="00337895" w:rsidRDefault="00337895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895" w:rsidRDefault="00337895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895" w:rsidRDefault="00337895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895" w:rsidRDefault="00337895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4A16" w:rsidRDefault="00BB4A16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4A16" w:rsidRPr="003C08A7" w:rsidRDefault="00BB4A16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08A7" w:rsidRPr="003C08A7" w:rsidRDefault="003C08A7" w:rsidP="000703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337895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3C08A7" w:rsidRPr="003C08A7" w:rsidRDefault="003C08A7" w:rsidP="000703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08A7" w:rsidRPr="003C08A7" w:rsidRDefault="003C08A7" w:rsidP="000703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Количество услуг, доступных для получения в электронном виде</w:t>
      </w:r>
    </w:p>
    <w:p w:rsidR="003C08A7" w:rsidRPr="003C08A7" w:rsidRDefault="003C08A7" w:rsidP="000703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4D953" wp14:editId="04123E2A">
            <wp:extent cx="5486400" cy="320040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8A7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востребованы у горожан следующие услуги в электронном виде:</w:t>
      </w:r>
    </w:p>
    <w:p w:rsidR="003C08A7" w:rsidRPr="003C08A7" w:rsidRDefault="003527B3" w:rsidP="000703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 (получили услугу 29 заявителей);</w:t>
      </w:r>
    </w:p>
    <w:p w:rsidR="003C08A7" w:rsidRPr="003C08A7" w:rsidRDefault="003527B3" w:rsidP="000703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государственная регистра</w:t>
      </w:r>
      <w:r w:rsidR="00BB4A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ция рождения (получили услугу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5 заявителей);</w:t>
      </w:r>
    </w:p>
    <w:p w:rsidR="003C08A7" w:rsidRPr="003C08A7" w:rsidRDefault="003527B3" w:rsidP="000703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государственная регистрация заключения брака (получили услугу                  </w:t>
      </w:r>
      <w:r w:rsidR="00BB4A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34 заявителя).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8A7">
        <w:rPr>
          <w:rFonts w:ascii="Times New Roman" w:eastAsia="Calibri" w:hAnsi="Times New Roman" w:cs="Times New Roman"/>
          <w:color w:val="000000"/>
          <w:sz w:val="28"/>
          <w:szCs w:val="28"/>
        </w:rPr>
        <w:t>За 2015 год предоставлено в электронном виде 22882 услуг, в том числе 22694 услуг по предоставление информации о текущей успеваемости учащегося (в 2014 году в электронном виде было оказано всего 62 услуги).</w:t>
      </w:r>
    </w:p>
    <w:p w:rsidR="003C08A7" w:rsidRPr="003C08A7" w:rsidRDefault="003C08A7" w:rsidP="000703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популяризации среди граждан механизма получения государственных и муниципальных услуг в электронной форме в течении 2015 года проведен ряд мероприятий, направленных на повышение информированности граждан о преимуществах получения услуг электронной форме, в том числе:</w:t>
      </w:r>
    </w:p>
    <w:p w:rsidR="003C08A7" w:rsidRPr="003C08A7" w:rsidRDefault="003527B3" w:rsidP="0007036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день открытых дверей для граждан по вопросам предоставления услуг в электронной форме;</w:t>
      </w:r>
    </w:p>
    <w:p w:rsidR="003C08A7" w:rsidRPr="003C08A7" w:rsidRDefault="003527B3" w:rsidP="0007036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17 мероприятий по информированию граждан о получении государственных и муниципальных услуг в электронной форме, реализованных в рамках исполнения медиа-плана (статьи в газете</w:t>
      </w:r>
      <w:r w:rsidR="000B7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proofErr w:type="spellStart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Самарово</w:t>
      </w:r>
      <w:proofErr w:type="spellEnd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- Ханты-Мансийск»), интервью на телевидении, пресс-релизы на Официальном портале;</w:t>
      </w:r>
    </w:p>
    <w:p w:rsidR="003C08A7" w:rsidRPr="003C08A7" w:rsidRDefault="003527B3" w:rsidP="0007036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тематические родительские собрания в образовательных учреждениях по популяризации среди граждан механизма получения государственных и муниципальных услуг в электронной форме (количество привлеченных граждан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составило 6625);</w:t>
      </w:r>
    </w:p>
    <w:p w:rsidR="003C08A7" w:rsidRPr="003C08A7" w:rsidRDefault="003527B3" w:rsidP="0007036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размещена информация на информационных стендах и официальных сайтах образовательных организаций города о регистрации на портале </w:t>
      </w:r>
      <w:proofErr w:type="spellStart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а также видеоролики о возможности получении </w:t>
      </w:r>
      <w:proofErr w:type="spellStart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 электронной форме</w:t>
      </w:r>
      <w:r w:rsidR="003C08A7" w:rsidRPr="003C08A7">
        <w:rPr>
          <w:rFonts w:ascii="Times New Roman" w:eastAsia="Calibri" w:hAnsi="Times New Roman" w:cs="Times New Roman"/>
          <w:sz w:val="28"/>
          <w:szCs w:val="28"/>
          <w:vertAlign w:val="superscript"/>
          <w:lang w:val="x-none" w:eastAsia="ru-RU"/>
        </w:rPr>
        <w:footnoteReference w:id="2"/>
      </w:r>
      <w:r w:rsidR="003C08A7" w:rsidRPr="003C08A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равного доступа населения, в том числе лиц                         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здоровья, к информации о деятельности органов местного самоуправления в 2015 году совместно с Департаментом информационных технологий Ханты-Мансийского автономного округа - Югры обеспечена работа 4 центров общественного доступа (ЦОД) </w:t>
      </w:r>
      <w:r w:rsidR="003527B3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к информации, государственным и муниципальным услугам, предоставляемым в электронной форме на территории автономного округа.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В ЦОД предоставляется беспла</w:t>
      </w:r>
      <w:r w:rsidR="00BB4A16">
        <w:rPr>
          <w:rFonts w:ascii="Times New Roman" w:eastAsia="Calibri" w:hAnsi="Times New Roman" w:cs="Times New Roman"/>
          <w:sz w:val="28"/>
          <w:szCs w:val="28"/>
        </w:rPr>
        <w:t xml:space="preserve">тный доступ в сеть Интернет,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к справочно-правовым системам.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Помимо доступа граждан к социально значимой, правовой информации в ЦОД, а также в муниципальном казенном образовательном учреждении «Центр развития образования» осуществляется обучение жителей города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Ханты-Мансийска по программе «Электронный гражданин».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В 2015 году обучено 300 горожан (в 2014 году - 250 горожан) (рис. </w:t>
      </w:r>
      <w:r w:rsidR="00337895">
        <w:rPr>
          <w:rFonts w:ascii="Times New Roman" w:eastAsia="Calibri" w:hAnsi="Times New Roman" w:cs="Times New Roman"/>
          <w:sz w:val="28"/>
          <w:szCs w:val="28"/>
        </w:rPr>
        <w:t>18</w:t>
      </w:r>
      <w:r w:rsidRPr="003C08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8A7" w:rsidRPr="003C08A7" w:rsidRDefault="003C08A7" w:rsidP="000703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337895">
        <w:rPr>
          <w:rFonts w:ascii="Times New Roman" w:eastAsia="Calibri" w:hAnsi="Times New Roman" w:cs="Times New Roman"/>
          <w:sz w:val="28"/>
          <w:szCs w:val="28"/>
        </w:rPr>
        <w:t>18</w:t>
      </w:r>
      <w:r w:rsidRPr="003C0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8A7" w:rsidRPr="003C08A7" w:rsidRDefault="003C08A7" w:rsidP="000703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E79238" wp14:editId="30E15AB1">
            <wp:extent cx="5303418" cy="2896819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В 2015 году в Центрах подтверждена личность 221 пользователю.</w:t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В рейтинге органов местного самоуправления Ханты-Мансийского автономного округа – Югры по количеству подтвержденных учетных записей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в расчете на 1000 жителей Ханты-Мансийск занимает 5 место.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межведомственного взаимодействия в Администрации города создан защищенный сегмент корпоративной сети (52 рабочих места </w:t>
      </w:r>
      <w:proofErr w:type="spellStart"/>
      <w:r w:rsidRPr="003C08A7">
        <w:rPr>
          <w:rFonts w:ascii="Times New Roman" w:eastAsia="Calibri" w:hAnsi="Times New Roman" w:cs="Times New Roman"/>
          <w:sz w:val="28"/>
          <w:szCs w:val="28"/>
        </w:rPr>
        <w:t>VipNET</w:t>
      </w:r>
      <w:proofErr w:type="spellEnd"/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), который интегрирован в систему межведомственного электронного взаимодействия автономного округа, что позволяет специалистам органов </w:t>
      </w:r>
      <w:r w:rsidRPr="003C08A7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города Ханты-Мансийска получать сведения по необходимым федеральным и региональным сервисам.</w:t>
      </w:r>
    </w:p>
    <w:p w:rsidR="003C08A7" w:rsidRPr="003C08A7" w:rsidRDefault="003C08A7" w:rsidP="00070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Для исполнения требований законодательства Российской Федерации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по обеспечению сохранности обрабатываемых персональных данных граждан </w:t>
      </w:r>
      <w:r w:rsidR="00BB4A16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и юридических лиц в органах местного самоуправления окружной столицы в 2015 году проведен аудит информационных систем, в которых обрабатываются персональные данные. По результатам аудита реализуются мероприятия по повышению защищенности обрабатываемой информации. </w:t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№210-ФЗ «Об организации предоставления государственных и муниципальных услуг» (далее - Федеральный закон №210-ФЗ) сотрудниками органов Администрации города Ханты-Мансийска в 2015 году направлено 12952 межведомственных запроса, это на 23% больше, чем в 2014 году (10482). Рост общего числа межведомственных запросов позволяет сделать вывод, что количество документов, предоставляемых заявителем по собственной инициативе, уменьшается, и что данные документы (сведения) запрашиваются сотрудниками органов Администрации города Ханты-Мансийска в иных органах государственной власти (органах местного самоуправления).</w:t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В 2015 году по сравнению с анал</w:t>
      </w:r>
      <w:r w:rsidR="00BB4A16">
        <w:rPr>
          <w:rFonts w:ascii="Times New Roman" w:eastAsia="Calibri" w:hAnsi="Times New Roman" w:cs="Times New Roman"/>
          <w:sz w:val="28"/>
          <w:szCs w:val="28"/>
        </w:rPr>
        <w:t xml:space="preserve">огичным периодом прошлого года </w:t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на 30% уменьшилось количество межведомственных запросов, направленных на бумажных носителях (4445 запроса в 2015 году и 6244 запроса в 2014 году). </w:t>
      </w:r>
    </w:p>
    <w:p w:rsidR="00967AA2" w:rsidRDefault="003C08A7" w:rsidP="00967AA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При этом количество запросов, направленных посредством системы межведомственного электронного взаимодействия</w:t>
      </w:r>
      <w:r w:rsidRPr="003C0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35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>-</w:t>
      </w:r>
      <w:r w:rsidR="0035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>СМЭВ),</w:t>
      </w:r>
      <w:r w:rsidRPr="003C0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увеличилось более чем на 60% </w:t>
      </w:r>
      <w:r w:rsidR="00967AA2">
        <w:rPr>
          <w:rFonts w:ascii="Times New Roman" w:eastAsia="Calibri" w:hAnsi="Times New Roman" w:cs="Times New Roman"/>
          <w:sz w:val="28"/>
          <w:szCs w:val="28"/>
        </w:rPr>
        <w:t>(рис. 19</w:t>
      </w:r>
      <w:r w:rsidR="00967AA2" w:rsidRPr="003C08A7">
        <w:rPr>
          <w:rFonts w:ascii="Times New Roman" w:eastAsia="Calibri" w:hAnsi="Times New Roman" w:cs="Times New Roman"/>
          <w:sz w:val="28"/>
          <w:szCs w:val="28"/>
        </w:rPr>
        <w:t>)</w:t>
      </w:r>
      <w:r w:rsidR="0096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в сравнении с 2014 годом (6821 запрос в 2015 году </w:t>
      </w:r>
      <w:r w:rsidR="003527B3">
        <w:rPr>
          <w:rFonts w:ascii="Times New Roman" w:eastAsia="Calibri" w:hAnsi="Times New Roman" w:cs="Times New Roman"/>
          <w:sz w:val="28"/>
          <w:szCs w:val="28"/>
        </w:rPr>
        <w:br/>
      </w:r>
      <w:r w:rsidRPr="003C08A7">
        <w:rPr>
          <w:rFonts w:ascii="Times New Roman" w:eastAsia="Calibri" w:hAnsi="Times New Roman" w:cs="Times New Roman"/>
          <w:sz w:val="28"/>
          <w:szCs w:val="28"/>
        </w:rPr>
        <w:t>и 4174 запроса в 2014 году).</w:t>
      </w:r>
    </w:p>
    <w:p w:rsidR="003807BD" w:rsidRPr="003C08A7" w:rsidRDefault="003807BD" w:rsidP="00967AA2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3807BD" w:rsidRDefault="003807BD" w:rsidP="00380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CF8291" wp14:editId="01D0AA7A">
            <wp:extent cx="5410200" cy="2817495"/>
            <wp:effectExtent l="0" t="0" r="0" b="1905"/>
            <wp:docPr id="21" name="Диаграмма 21" descr="Название: Межведомственное информационное взаимодейств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8A7" w:rsidRPr="003C08A7" w:rsidRDefault="003C08A7" w:rsidP="000703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t>В целях исполнения требований Федерального закона №210-ФЗ органами Администрации года Ханты-Мансийска в 2015 году предоставлено 2883</w:t>
      </w:r>
      <w:r w:rsidR="00352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>ответа</w:t>
      </w:r>
      <w:r w:rsidRPr="003C0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C08A7">
        <w:rPr>
          <w:rFonts w:ascii="Times New Roman" w:eastAsia="Calibri" w:hAnsi="Times New Roman" w:cs="Times New Roman"/>
          <w:sz w:val="28"/>
          <w:szCs w:val="28"/>
        </w:rPr>
        <w:t>на поступившие от исполнительных органов государственной власти межведомственные запросы (в 2014 году - 4498 ответов).</w:t>
      </w:r>
    </w:p>
    <w:p w:rsidR="003C08A7" w:rsidRDefault="003C08A7" w:rsidP="003807B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C08A7">
        <w:rPr>
          <w:rFonts w:ascii="Times New Roman" w:eastAsia="Calibri" w:hAnsi="Times New Roman" w:cs="Times New Roman"/>
          <w:sz w:val="28"/>
          <w:szCs w:val="28"/>
        </w:rPr>
        <w:lastRenderedPageBreak/>
        <w:t>При этом в текущем году в большинстве случаев ответы предоставлялись не на бумажных носителях, а в электронно</w:t>
      </w:r>
      <w:r w:rsidR="00337895">
        <w:rPr>
          <w:rFonts w:ascii="Times New Roman" w:eastAsia="Calibri" w:hAnsi="Times New Roman" w:cs="Times New Roman"/>
          <w:sz w:val="28"/>
          <w:szCs w:val="28"/>
        </w:rPr>
        <w:t xml:space="preserve">м виде, посредством СМЭВ </w:t>
      </w:r>
    </w:p>
    <w:p w:rsidR="00512E7A" w:rsidRPr="00512E7A" w:rsidRDefault="00161320" w:rsidP="00512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512E7A" w:rsidRPr="00512E7A" w:rsidSect="00AA7E3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76" w:rsidRDefault="00720E76" w:rsidP="00AD59E0">
      <w:pPr>
        <w:spacing w:after="0" w:line="240" w:lineRule="auto"/>
      </w:pPr>
      <w:r>
        <w:separator/>
      </w:r>
    </w:p>
  </w:endnote>
  <w:endnote w:type="continuationSeparator" w:id="0">
    <w:p w:rsidR="00720E76" w:rsidRDefault="00720E76" w:rsidP="00AD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10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71C6E" w:rsidRPr="00AD59E0" w:rsidRDefault="00671C6E" w:rsidP="00AD59E0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AD59E0">
          <w:rPr>
            <w:rFonts w:ascii="Times New Roman" w:hAnsi="Times New Roman" w:cs="Times New Roman"/>
            <w:sz w:val="28"/>
          </w:rPr>
          <w:fldChar w:fldCharType="begin"/>
        </w:r>
        <w:r w:rsidRPr="00AD59E0">
          <w:rPr>
            <w:rFonts w:ascii="Times New Roman" w:hAnsi="Times New Roman" w:cs="Times New Roman"/>
            <w:sz w:val="28"/>
          </w:rPr>
          <w:instrText>PAGE   \* MERGEFORMAT</w:instrText>
        </w:r>
        <w:r w:rsidRPr="00AD59E0">
          <w:rPr>
            <w:rFonts w:ascii="Times New Roman" w:hAnsi="Times New Roman" w:cs="Times New Roman"/>
            <w:sz w:val="28"/>
          </w:rPr>
          <w:fldChar w:fldCharType="separate"/>
        </w:r>
        <w:r w:rsidR="004F7A7E">
          <w:rPr>
            <w:rFonts w:ascii="Times New Roman" w:hAnsi="Times New Roman" w:cs="Times New Roman"/>
            <w:noProof/>
            <w:sz w:val="28"/>
          </w:rPr>
          <w:t>32</w:t>
        </w:r>
        <w:r w:rsidRPr="00AD59E0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76" w:rsidRDefault="00720E76" w:rsidP="00AD59E0">
      <w:pPr>
        <w:spacing w:after="0" w:line="240" w:lineRule="auto"/>
      </w:pPr>
      <w:r>
        <w:separator/>
      </w:r>
    </w:p>
  </w:footnote>
  <w:footnote w:type="continuationSeparator" w:id="0">
    <w:p w:rsidR="00720E76" w:rsidRDefault="00720E76" w:rsidP="00AD59E0">
      <w:pPr>
        <w:spacing w:after="0" w:line="240" w:lineRule="auto"/>
      </w:pPr>
      <w:r>
        <w:continuationSeparator/>
      </w:r>
    </w:p>
  </w:footnote>
  <w:footnote w:id="1">
    <w:p w:rsidR="00671C6E" w:rsidRDefault="00671C6E" w:rsidP="00ED543A">
      <w:pPr>
        <w:pStyle w:val="ae"/>
      </w:pPr>
      <w:r>
        <w:rPr>
          <w:rStyle w:val="af0"/>
        </w:rPr>
        <w:footnoteRef/>
      </w:r>
      <w:r>
        <w:t xml:space="preserve"> </w:t>
      </w:r>
      <w:r w:rsidRPr="00D714F6">
        <w:rPr>
          <w:rFonts w:ascii="Times New Roman" w:hAnsi="Times New Roman"/>
        </w:rPr>
        <w:t>http://open-data.admhmansy.ru/</w:t>
      </w:r>
    </w:p>
  </w:footnote>
  <w:footnote w:id="2">
    <w:p w:rsidR="00671C6E" w:rsidRPr="00706CB8" w:rsidRDefault="00671C6E" w:rsidP="003C08A7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 w:rsidRPr="00706CB8">
        <w:rPr>
          <w:rFonts w:ascii="Times New Roman" w:hAnsi="Times New Roman"/>
          <w:lang w:eastAsia="ru-RU"/>
        </w:rPr>
        <w:t>Например</w:t>
      </w:r>
      <w:proofErr w:type="gramEnd"/>
      <w:r w:rsidRPr="00706CB8">
        <w:rPr>
          <w:rFonts w:ascii="Times New Roman" w:hAnsi="Times New Roman"/>
          <w:lang w:eastAsia="ru-RU"/>
        </w:rPr>
        <w:t xml:space="preserve"> </w:t>
      </w:r>
      <w:r w:rsidRPr="00706CB8">
        <w:rPr>
          <w:rFonts w:ascii="Times New Roman" w:hAnsi="Times New Roman"/>
        </w:rPr>
        <w:t>http://xn--1-7sbirdczi9n.xn--p1ai/</w:t>
      </w:r>
      <w:proofErr w:type="spellStart"/>
      <w:r w:rsidRPr="00706CB8">
        <w:rPr>
          <w:rFonts w:ascii="Times New Roman" w:hAnsi="Times New Roman"/>
        </w:rPr>
        <w:t>directions</w:t>
      </w:r>
      <w:proofErr w:type="spellEnd"/>
      <w:r w:rsidRPr="00706CB8">
        <w:rPr>
          <w:rFonts w:ascii="Times New Roman" w:hAnsi="Times New Roman"/>
        </w:rPr>
        <w:t>/napravlenie-3/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E32"/>
    <w:multiLevelType w:val="hybridMultilevel"/>
    <w:tmpl w:val="6DF24194"/>
    <w:lvl w:ilvl="0" w:tplc="D25EE35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55B27"/>
    <w:multiLevelType w:val="multilevel"/>
    <w:tmpl w:val="403E1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4584335"/>
    <w:multiLevelType w:val="hybridMultilevel"/>
    <w:tmpl w:val="30A6AF5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450B7"/>
    <w:multiLevelType w:val="hybridMultilevel"/>
    <w:tmpl w:val="B98E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6EA7"/>
    <w:multiLevelType w:val="hybridMultilevel"/>
    <w:tmpl w:val="089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23FE"/>
    <w:multiLevelType w:val="hybridMultilevel"/>
    <w:tmpl w:val="BB30AA82"/>
    <w:lvl w:ilvl="0" w:tplc="E1AC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9"/>
    <w:rsid w:val="00000BCF"/>
    <w:rsid w:val="00002985"/>
    <w:rsid w:val="00007977"/>
    <w:rsid w:val="0001314C"/>
    <w:rsid w:val="000131A4"/>
    <w:rsid w:val="00014C2D"/>
    <w:rsid w:val="00017F00"/>
    <w:rsid w:val="00026C85"/>
    <w:rsid w:val="00046967"/>
    <w:rsid w:val="00056013"/>
    <w:rsid w:val="000563C8"/>
    <w:rsid w:val="00062FC5"/>
    <w:rsid w:val="0007036C"/>
    <w:rsid w:val="000722F0"/>
    <w:rsid w:val="000768CE"/>
    <w:rsid w:val="00096798"/>
    <w:rsid w:val="000A1A58"/>
    <w:rsid w:val="000B0140"/>
    <w:rsid w:val="000B6666"/>
    <w:rsid w:val="000B761F"/>
    <w:rsid w:val="000C2558"/>
    <w:rsid w:val="000E19CD"/>
    <w:rsid w:val="000E1A87"/>
    <w:rsid w:val="000F4A28"/>
    <w:rsid w:val="00106947"/>
    <w:rsid w:val="00112204"/>
    <w:rsid w:val="00112E9C"/>
    <w:rsid w:val="0011768C"/>
    <w:rsid w:val="0012684E"/>
    <w:rsid w:val="00134E43"/>
    <w:rsid w:val="0014068E"/>
    <w:rsid w:val="00144760"/>
    <w:rsid w:val="001612EE"/>
    <w:rsid w:val="00161320"/>
    <w:rsid w:val="001754F3"/>
    <w:rsid w:val="001772BD"/>
    <w:rsid w:val="00182243"/>
    <w:rsid w:val="0019483D"/>
    <w:rsid w:val="001A25E7"/>
    <w:rsid w:val="001A74C6"/>
    <w:rsid w:val="001B066B"/>
    <w:rsid w:val="001B3AEC"/>
    <w:rsid w:val="001B4CDD"/>
    <w:rsid w:val="001C2450"/>
    <w:rsid w:val="001D38A9"/>
    <w:rsid w:val="001D5512"/>
    <w:rsid w:val="00207D80"/>
    <w:rsid w:val="00233B72"/>
    <w:rsid w:val="00265B98"/>
    <w:rsid w:val="00271B9E"/>
    <w:rsid w:val="002846F8"/>
    <w:rsid w:val="00285349"/>
    <w:rsid w:val="00285D44"/>
    <w:rsid w:val="00286AEA"/>
    <w:rsid w:val="00287B67"/>
    <w:rsid w:val="002D2E23"/>
    <w:rsid w:val="002D5884"/>
    <w:rsid w:val="002D7328"/>
    <w:rsid w:val="002F2988"/>
    <w:rsid w:val="002F2C4E"/>
    <w:rsid w:val="002F5347"/>
    <w:rsid w:val="0030254B"/>
    <w:rsid w:val="00304DE2"/>
    <w:rsid w:val="0030507E"/>
    <w:rsid w:val="003131CD"/>
    <w:rsid w:val="00313FFC"/>
    <w:rsid w:val="00321AED"/>
    <w:rsid w:val="00324B5E"/>
    <w:rsid w:val="00337895"/>
    <w:rsid w:val="00341BAC"/>
    <w:rsid w:val="00350F0F"/>
    <w:rsid w:val="003511EA"/>
    <w:rsid w:val="003527B3"/>
    <w:rsid w:val="0035520A"/>
    <w:rsid w:val="003556B4"/>
    <w:rsid w:val="00360D72"/>
    <w:rsid w:val="00366DA9"/>
    <w:rsid w:val="003747AB"/>
    <w:rsid w:val="003807BD"/>
    <w:rsid w:val="0038198C"/>
    <w:rsid w:val="00383796"/>
    <w:rsid w:val="003A02A6"/>
    <w:rsid w:val="003C08A7"/>
    <w:rsid w:val="003C42C0"/>
    <w:rsid w:val="003D2F8B"/>
    <w:rsid w:val="003D6753"/>
    <w:rsid w:val="003F716E"/>
    <w:rsid w:val="003F73FA"/>
    <w:rsid w:val="004003F1"/>
    <w:rsid w:val="00405629"/>
    <w:rsid w:val="0041179E"/>
    <w:rsid w:val="00433FA8"/>
    <w:rsid w:val="00436733"/>
    <w:rsid w:val="00450197"/>
    <w:rsid w:val="0045259F"/>
    <w:rsid w:val="00462AAD"/>
    <w:rsid w:val="0048418E"/>
    <w:rsid w:val="004850BB"/>
    <w:rsid w:val="004877BA"/>
    <w:rsid w:val="00493095"/>
    <w:rsid w:val="004A0AD7"/>
    <w:rsid w:val="004A3BC0"/>
    <w:rsid w:val="004B7A3B"/>
    <w:rsid w:val="004E535F"/>
    <w:rsid w:val="004E5E83"/>
    <w:rsid w:val="004E6D11"/>
    <w:rsid w:val="004F23AD"/>
    <w:rsid w:val="004F2B70"/>
    <w:rsid w:val="004F7A7E"/>
    <w:rsid w:val="004F7E2F"/>
    <w:rsid w:val="00503D37"/>
    <w:rsid w:val="00512E7A"/>
    <w:rsid w:val="00530AA7"/>
    <w:rsid w:val="00532267"/>
    <w:rsid w:val="00546F02"/>
    <w:rsid w:val="0056349D"/>
    <w:rsid w:val="0057242B"/>
    <w:rsid w:val="0057290F"/>
    <w:rsid w:val="005858B3"/>
    <w:rsid w:val="005917B5"/>
    <w:rsid w:val="00592909"/>
    <w:rsid w:val="00593E5C"/>
    <w:rsid w:val="005A123F"/>
    <w:rsid w:val="005C0A64"/>
    <w:rsid w:val="005D11FB"/>
    <w:rsid w:val="005D169B"/>
    <w:rsid w:val="005D67D6"/>
    <w:rsid w:val="005E6E7B"/>
    <w:rsid w:val="00604600"/>
    <w:rsid w:val="00636547"/>
    <w:rsid w:val="006403E6"/>
    <w:rsid w:val="00661691"/>
    <w:rsid w:val="006657C3"/>
    <w:rsid w:val="00671C6E"/>
    <w:rsid w:val="006736C6"/>
    <w:rsid w:val="00677B3D"/>
    <w:rsid w:val="006B4369"/>
    <w:rsid w:val="006C43F4"/>
    <w:rsid w:val="006C6AD3"/>
    <w:rsid w:val="006E34B2"/>
    <w:rsid w:val="006F18BA"/>
    <w:rsid w:val="006F2BFF"/>
    <w:rsid w:val="006F7E88"/>
    <w:rsid w:val="007008F0"/>
    <w:rsid w:val="007114B5"/>
    <w:rsid w:val="00711F3B"/>
    <w:rsid w:val="00712A04"/>
    <w:rsid w:val="00720E76"/>
    <w:rsid w:val="007321CE"/>
    <w:rsid w:val="00732810"/>
    <w:rsid w:val="00754267"/>
    <w:rsid w:val="00757232"/>
    <w:rsid w:val="00782EFB"/>
    <w:rsid w:val="00784396"/>
    <w:rsid w:val="00790B66"/>
    <w:rsid w:val="007948DE"/>
    <w:rsid w:val="0079738C"/>
    <w:rsid w:val="007A684C"/>
    <w:rsid w:val="007B0404"/>
    <w:rsid w:val="007B2093"/>
    <w:rsid w:val="007C5859"/>
    <w:rsid w:val="007C6C06"/>
    <w:rsid w:val="007E26AC"/>
    <w:rsid w:val="007E60D9"/>
    <w:rsid w:val="008058CB"/>
    <w:rsid w:val="00811B56"/>
    <w:rsid w:val="00812A56"/>
    <w:rsid w:val="0081617C"/>
    <w:rsid w:val="0083145F"/>
    <w:rsid w:val="008551E9"/>
    <w:rsid w:val="00867C40"/>
    <w:rsid w:val="0087375B"/>
    <w:rsid w:val="00891BC2"/>
    <w:rsid w:val="008944B4"/>
    <w:rsid w:val="008A49E5"/>
    <w:rsid w:val="008B173C"/>
    <w:rsid w:val="008B3FF7"/>
    <w:rsid w:val="008B4118"/>
    <w:rsid w:val="008B6B44"/>
    <w:rsid w:val="008D6DF6"/>
    <w:rsid w:val="008E71BE"/>
    <w:rsid w:val="008E774F"/>
    <w:rsid w:val="008F718D"/>
    <w:rsid w:val="00903D52"/>
    <w:rsid w:val="0090499A"/>
    <w:rsid w:val="00910DA5"/>
    <w:rsid w:val="00916373"/>
    <w:rsid w:val="009204DF"/>
    <w:rsid w:val="009218C9"/>
    <w:rsid w:val="00943B64"/>
    <w:rsid w:val="00962DA0"/>
    <w:rsid w:val="00967AA2"/>
    <w:rsid w:val="00993AC0"/>
    <w:rsid w:val="00995B07"/>
    <w:rsid w:val="009A2C16"/>
    <w:rsid w:val="009A7EFD"/>
    <w:rsid w:val="009C3902"/>
    <w:rsid w:val="009D109F"/>
    <w:rsid w:val="009F31D9"/>
    <w:rsid w:val="009F66BD"/>
    <w:rsid w:val="009F724D"/>
    <w:rsid w:val="00A1716F"/>
    <w:rsid w:val="00A25EF2"/>
    <w:rsid w:val="00A34582"/>
    <w:rsid w:val="00A367AC"/>
    <w:rsid w:val="00A44462"/>
    <w:rsid w:val="00A60CFF"/>
    <w:rsid w:val="00A90272"/>
    <w:rsid w:val="00AA08B8"/>
    <w:rsid w:val="00AA5AD9"/>
    <w:rsid w:val="00AA7E3E"/>
    <w:rsid w:val="00AB1BE0"/>
    <w:rsid w:val="00AB29CD"/>
    <w:rsid w:val="00AD59E0"/>
    <w:rsid w:val="00AE34DB"/>
    <w:rsid w:val="00AE547D"/>
    <w:rsid w:val="00B03809"/>
    <w:rsid w:val="00B168AE"/>
    <w:rsid w:val="00B174B8"/>
    <w:rsid w:val="00B2228A"/>
    <w:rsid w:val="00B24B04"/>
    <w:rsid w:val="00B25AD3"/>
    <w:rsid w:val="00B3207F"/>
    <w:rsid w:val="00B60ABC"/>
    <w:rsid w:val="00B65212"/>
    <w:rsid w:val="00B6659D"/>
    <w:rsid w:val="00B84BF8"/>
    <w:rsid w:val="00BA1EBA"/>
    <w:rsid w:val="00BB4A16"/>
    <w:rsid w:val="00BD4D65"/>
    <w:rsid w:val="00BE1D8A"/>
    <w:rsid w:val="00BE232E"/>
    <w:rsid w:val="00BE476E"/>
    <w:rsid w:val="00C1069E"/>
    <w:rsid w:val="00C14DD1"/>
    <w:rsid w:val="00C16D72"/>
    <w:rsid w:val="00C34C8E"/>
    <w:rsid w:val="00C401BD"/>
    <w:rsid w:val="00C45265"/>
    <w:rsid w:val="00C51049"/>
    <w:rsid w:val="00C524EF"/>
    <w:rsid w:val="00C5694B"/>
    <w:rsid w:val="00C6042B"/>
    <w:rsid w:val="00C63597"/>
    <w:rsid w:val="00C64FE2"/>
    <w:rsid w:val="00C726C9"/>
    <w:rsid w:val="00C73657"/>
    <w:rsid w:val="00C74849"/>
    <w:rsid w:val="00C7516F"/>
    <w:rsid w:val="00C76089"/>
    <w:rsid w:val="00C81A6B"/>
    <w:rsid w:val="00C835BA"/>
    <w:rsid w:val="00CA0EE3"/>
    <w:rsid w:val="00CD5B65"/>
    <w:rsid w:val="00D22B18"/>
    <w:rsid w:val="00D2461F"/>
    <w:rsid w:val="00D355FD"/>
    <w:rsid w:val="00D60393"/>
    <w:rsid w:val="00D6637D"/>
    <w:rsid w:val="00D72A25"/>
    <w:rsid w:val="00D747C7"/>
    <w:rsid w:val="00D804E4"/>
    <w:rsid w:val="00D93751"/>
    <w:rsid w:val="00D9410A"/>
    <w:rsid w:val="00D95B29"/>
    <w:rsid w:val="00DA74BC"/>
    <w:rsid w:val="00DC0C43"/>
    <w:rsid w:val="00DC0C9D"/>
    <w:rsid w:val="00DD0384"/>
    <w:rsid w:val="00DE264A"/>
    <w:rsid w:val="00DF6119"/>
    <w:rsid w:val="00E06936"/>
    <w:rsid w:val="00E14388"/>
    <w:rsid w:val="00E157E8"/>
    <w:rsid w:val="00E21BB8"/>
    <w:rsid w:val="00E23F9D"/>
    <w:rsid w:val="00E40D68"/>
    <w:rsid w:val="00E413CE"/>
    <w:rsid w:val="00E51DF0"/>
    <w:rsid w:val="00E57359"/>
    <w:rsid w:val="00E630B8"/>
    <w:rsid w:val="00E6715B"/>
    <w:rsid w:val="00E73E34"/>
    <w:rsid w:val="00E93160"/>
    <w:rsid w:val="00EA0058"/>
    <w:rsid w:val="00EA0517"/>
    <w:rsid w:val="00EB11DA"/>
    <w:rsid w:val="00EB4435"/>
    <w:rsid w:val="00EC739D"/>
    <w:rsid w:val="00ED543A"/>
    <w:rsid w:val="00ED5E9A"/>
    <w:rsid w:val="00EE15EF"/>
    <w:rsid w:val="00EF1B9B"/>
    <w:rsid w:val="00EF264C"/>
    <w:rsid w:val="00EF4CEF"/>
    <w:rsid w:val="00EF64D2"/>
    <w:rsid w:val="00F35587"/>
    <w:rsid w:val="00F37FF9"/>
    <w:rsid w:val="00F42FBA"/>
    <w:rsid w:val="00F514CB"/>
    <w:rsid w:val="00F5231E"/>
    <w:rsid w:val="00F64C66"/>
    <w:rsid w:val="00F874DE"/>
    <w:rsid w:val="00F932B4"/>
    <w:rsid w:val="00FB3CF6"/>
    <w:rsid w:val="00FC1094"/>
    <w:rsid w:val="00FC133B"/>
    <w:rsid w:val="00FC488B"/>
    <w:rsid w:val="00FC6D12"/>
    <w:rsid w:val="00FD05FA"/>
    <w:rsid w:val="00FD18A8"/>
    <w:rsid w:val="00FD4E52"/>
    <w:rsid w:val="00FD5029"/>
    <w:rsid w:val="00FE0342"/>
    <w:rsid w:val="00FF194F"/>
    <w:rsid w:val="00FF307B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A"/>
  </w:style>
  <w:style w:type="paragraph" w:styleId="1">
    <w:name w:val="heading 1"/>
    <w:basedOn w:val="a"/>
    <w:next w:val="a"/>
    <w:link w:val="10"/>
    <w:uiPriority w:val="9"/>
    <w:qFormat/>
    <w:rsid w:val="00EB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E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13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9E0"/>
  </w:style>
  <w:style w:type="paragraph" w:styleId="a8">
    <w:name w:val="footer"/>
    <w:basedOn w:val="a"/>
    <w:link w:val="a9"/>
    <w:uiPriority w:val="99"/>
    <w:unhideWhenUsed/>
    <w:rsid w:val="00A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9E0"/>
  </w:style>
  <w:style w:type="paragraph" w:styleId="aa">
    <w:name w:val="List Paragraph"/>
    <w:basedOn w:val="a"/>
    <w:uiPriority w:val="34"/>
    <w:qFormat/>
    <w:rsid w:val="009218C9"/>
    <w:pPr>
      <w:ind w:left="720"/>
      <w:contextualSpacing/>
    </w:pPr>
  </w:style>
  <w:style w:type="paragraph" w:styleId="ab">
    <w:name w:val="Body Text"/>
    <w:basedOn w:val="a"/>
    <w:link w:val="ac"/>
    <w:unhideWhenUsed/>
    <w:rsid w:val="003C4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3C42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FollowedHyperlink"/>
    <w:basedOn w:val="a0"/>
    <w:uiPriority w:val="99"/>
    <w:semiHidden/>
    <w:unhideWhenUsed/>
    <w:rsid w:val="008D6DF6"/>
    <w:rPr>
      <w:color w:val="800080"/>
      <w:u w:val="single"/>
    </w:rPr>
  </w:style>
  <w:style w:type="paragraph" w:customStyle="1" w:styleId="xl77">
    <w:name w:val="xl77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D6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D6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D6D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D6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D6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D6D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01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013"/>
    <w:rPr>
      <w:sz w:val="20"/>
      <w:szCs w:val="20"/>
    </w:rPr>
  </w:style>
  <w:style w:type="character" w:styleId="af0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056013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D9410A"/>
  </w:style>
  <w:style w:type="paragraph" w:customStyle="1" w:styleId="xl94">
    <w:name w:val="xl94"/>
    <w:basedOn w:val="a"/>
    <w:rsid w:val="00D94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4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A"/>
  </w:style>
  <w:style w:type="paragraph" w:styleId="1">
    <w:name w:val="heading 1"/>
    <w:basedOn w:val="a"/>
    <w:next w:val="a"/>
    <w:link w:val="10"/>
    <w:uiPriority w:val="9"/>
    <w:qFormat/>
    <w:rsid w:val="00EB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E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13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9E0"/>
  </w:style>
  <w:style w:type="paragraph" w:styleId="a8">
    <w:name w:val="footer"/>
    <w:basedOn w:val="a"/>
    <w:link w:val="a9"/>
    <w:uiPriority w:val="99"/>
    <w:unhideWhenUsed/>
    <w:rsid w:val="00A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9E0"/>
  </w:style>
  <w:style w:type="paragraph" w:styleId="aa">
    <w:name w:val="List Paragraph"/>
    <w:basedOn w:val="a"/>
    <w:uiPriority w:val="34"/>
    <w:qFormat/>
    <w:rsid w:val="009218C9"/>
    <w:pPr>
      <w:ind w:left="720"/>
      <w:contextualSpacing/>
    </w:pPr>
  </w:style>
  <w:style w:type="paragraph" w:styleId="ab">
    <w:name w:val="Body Text"/>
    <w:basedOn w:val="a"/>
    <w:link w:val="ac"/>
    <w:unhideWhenUsed/>
    <w:rsid w:val="003C4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3C42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FollowedHyperlink"/>
    <w:basedOn w:val="a0"/>
    <w:uiPriority w:val="99"/>
    <w:semiHidden/>
    <w:unhideWhenUsed/>
    <w:rsid w:val="008D6DF6"/>
    <w:rPr>
      <w:color w:val="800080"/>
      <w:u w:val="single"/>
    </w:rPr>
  </w:style>
  <w:style w:type="paragraph" w:customStyle="1" w:styleId="xl77">
    <w:name w:val="xl77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D6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D6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D6D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D6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D6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D6D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6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D6D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01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013"/>
    <w:rPr>
      <w:sz w:val="20"/>
      <w:szCs w:val="20"/>
    </w:rPr>
  </w:style>
  <w:style w:type="character" w:styleId="af0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056013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D9410A"/>
  </w:style>
  <w:style w:type="paragraph" w:customStyle="1" w:styleId="xl94">
    <w:name w:val="xl94"/>
    <w:basedOn w:val="a"/>
    <w:rsid w:val="00D94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4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1DCE3FA27B7612A46BB14AAD9ED5E2F9FB33E9689D72EFBEA33C72A858731C51C25112DE217970B45B88bEt0F" TargetMode="External"/><Relationship Id="rId23" Type="http://schemas.openxmlformats.org/officeDocument/2006/relationships/chart" Target="charts/chart14.xml"/><Relationship Id="rId28" Type="http://schemas.openxmlformats.org/officeDocument/2006/relationships/chart" Target="charts/chart18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OI_PROFIL\&#1056;&#1072;&#1073;&#1086;&#1095;&#1080;&#1081;%20&#1089;&#1090;&#1086;&#1083;\&#1050;&#1086;&#1087;&#1080;&#1103;%20&#1050;&#1086;&#1087;&#1080;&#1103;%20&#1044;&#1080;&#1072;&#1075;&#1088;&#1072;&#1084;&#1084;&#1099;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sv\AppData\Local\Microsoft\Windows\Temporary%20Internet%20Files\Content.Outlook\OKK55KYB\&#1050;&#1086;&#1087;&#1080;&#1103;%20&#1044;&#1080;&#1072;&#1075;&#1088;&#1072;&#1084;&#1084;&#1099;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sv\AppData\Local\Microsoft\Windows\Temporary%20Internet%20Files\Content.Outlook\OKK55KYB\&#1050;&#1086;&#1087;&#1080;&#1103;%20&#1044;&#1080;&#1072;&#1075;&#1088;&#1072;&#1084;&#1084;&#1099;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145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82789</c:v>
                </c:pt>
                <c:pt idx="1">
                  <c:v>87995</c:v>
                </c:pt>
                <c:pt idx="2">
                  <c:v>93436</c:v>
                </c:pt>
                <c:pt idx="3">
                  <c:v>94423</c:v>
                </c:pt>
                <c:pt idx="4">
                  <c:v>96602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1034</c:v>
                </c:pt>
                <c:pt idx="1">
                  <c:v>1137</c:v>
                </c:pt>
                <c:pt idx="2">
                  <c:v>1173</c:v>
                </c:pt>
                <c:pt idx="3">
                  <c:v>1210</c:v>
                </c:pt>
                <c:pt idx="4">
                  <c:v>1236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680128"/>
        <c:axId val="111686016"/>
      </c:barChart>
      <c:catAx>
        <c:axId val="111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ln w="12699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86016"/>
        <c:crosses val="autoZero"/>
        <c:auto val="1"/>
        <c:lblAlgn val="ctr"/>
        <c:lblOffset val="100"/>
        <c:noMultiLvlLbl val="0"/>
      </c:catAx>
      <c:valAx>
        <c:axId val="111686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16801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9.0287277701778385E-2"/>
          <c:y val="0.87499999999999978"/>
          <c:w val="0.81805745554035569"/>
          <c:h val="8.9743589743589744E-2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3065</c:v>
                </c:pt>
                <c:pt idx="1">
                  <c:v>3827</c:v>
                </c:pt>
                <c:pt idx="2">
                  <c:v>4075</c:v>
                </c:pt>
                <c:pt idx="3">
                  <c:v>4197</c:v>
                </c:pt>
                <c:pt idx="4">
                  <c:v>4367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20800"/>
        <c:axId val="172222336"/>
      </c:barChart>
      <c:catAx>
        <c:axId val="17222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222336"/>
        <c:crosses val="autoZero"/>
        <c:auto val="1"/>
        <c:lblAlgn val="ctr"/>
        <c:lblOffset val="100"/>
        <c:noMultiLvlLbl val="0"/>
      </c:catAx>
      <c:valAx>
        <c:axId val="1722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220800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60000"/>
              <a:lumOff val="4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1574074074074073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66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2037037037036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88.2</c:v>
                </c:pt>
                <c:pt idx="2">
                  <c:v>88.8</c:v>
                </c:pt>
                <c:pt idx="3">
                  <c:v>90.1</c:v>
                </c:pt>
                <c:pt idx="4">
                  <c:v>91.3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243200"/>
        <c:axId val="172253184"/>
        <c:axId val="0"/>
      </c:bar3DChart>
      <c:catAx>
        <c:axId val="1722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253184"/>
        <c:crosses val="autoZero"/>
        <c:auto val="1"/>
        <c:lblAlgn val="ctr"/>
        <c:lblOffset val="100"/>
        <c:noMultiLvlLbl val="0"/>
      </c:catAx>
      <c:valAx>
        <c:axId val="17225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243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 w="25398">
              <a:noFill/>
            </a:ln>
          </c:spPr>
          <c:invertIfNegative val="0"/>
          <c:dLbls>
            <c:dLbl>
              <c:idx val="0"/>
              <c:layout>
                <c:manualLayout>
                  <c:x val="1.388888888888891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47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32E-2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203703703703703E-2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89</c:v>
                </c:pt>
                <c:pt idx="1">
                  <c:v>95.5</c:v>
                </c:pt>
                <c:pt idx="2">
                  <c:v>89.8</c:v>
                </c:pt>
                <c:pt idx="3">
                  <c:v>91.1</c:v>
                </c:pt>
                <c:pt idx="4">
                  <c:v>92.2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376064"/>
        <c:axId val="172377600"/>
        <c:axId val="0"/>
      </c:bar3DChart>
      <c:catAx>
        <c:axId val="1723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377600"/>
        <c:crosses val="autoZero"/>
        <c:auto val="1"/>
        <c:lblAlgn val="ctr"/>
        <c:lblOffset val="100"/>
        <c:noMultiLvlLbl val="0"/>
      </c:catAx>
      <c:valAx>
        <c:axId val="172377600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37606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Протяженность линий электропередач, км.</a:t>
            </a:r>
          </a:p>
        </c:rich>
      </c:tx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3655913978494623E-2"/>
          <c:y val="0.19446694163229597"/>
          <c:w val="0.95268817204301071"/>
          <c:h val="0.55688788901387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Воздушные линии
0,4 кВ</c:v>
                </c:pt>
                <c:pt idx="1">
                  <c:v>Воздушные линии
10 кВ</c:v>
                </c:pt>
                <c:pt idx="2">
                  <c:v>Кабельные линии
0,4 кВ</c:v>
                </c:pt>
                <c:pt idx="3">
                  <c:v>Кабельные линии
10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136</c:v>
                </c:pt>
                <c:pt idx="2">
                  <c:v>438</c:v>
                </c:pt>
                <c:pt idx="3">
                  <c:v>443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Воздушные линии
0,4 кВ</c:v>
                </c:pt>
                <c:pt idx="1">
                  <c:v>Воздушные линии
10 кВ</c:v>
                </c:pt>
                <c:pt idx="2">
                  <c:v>Кабельные линии
0,4 кВ</c:v>
                </c:pt>
                <c:pt idx="3">
                  <c:v>Кабельные линии
10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321</c:v>
                </c:pt>
                <c:pt idx="1">
                  <c:v>158</c:v>
                </c:pt>
                <c:pt idx="2">
                  <c:v>461</c:v>
                </c:pt>
                <c:pt idx="3">
                  <c:v>456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Воздушные линии
0,4 кВ</c:v>
                </c:pt>
                <c:pt idx="1">
                  <c:v>Воздушные линии
10 кВ</c:v>
                </c:pt>
                <c:pt idx="2">
                  <c:v>Кабельные линии
0,4 кВ</c:v>
                </c:pt>
                <c:pt idx="3">
                  <c:v>Кабельные линии
10 кВ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335</c:v>
                </c:pt>
                <c:pt idx="1">
                  <c:v>160</c:v>
                </c:pt>
                <c:pt idx="2">
                  <c:v>478</c:v>
                </c:pt>
                <c:pt idx="3">
                  <c:v>475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Воздушные линии
0,4 кВ</c:v>
                </c:pt>
                <c:pt idx="1">
                  <c:v>Воздушные линии
10 кВ</c:v>
                </c:pt>
                <c:pt idx="2">
                  <c:v>Кабельные линии
0,4 кВ</c:v>
                </c:pt>
                <c:pt idx="3">
                  <c:v>Кабельные линии
10 кВ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361</c:v>
                </c:pt>
                <c:pt idx="1">
                  <c:v>166</c:v>
                </c:pt>
                <c:pt idx="2">
                  <c:v>499</c:v>
                </c:pt>
                <c:pt idx="3">
                  <c:v>488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Воздушные линии
0,4 кВ</c:v>
                </c:pt>
                <c:pt idx="1">
                  <c:v>Воздушные линии
10 кВ</c:v>
                </c:pt>
                <c:pt idx="2">
                  <c:v>Кабельные линии
0,4 кВ</c:v>
                </c:pt>
                <c:pt idx="3">
                  <c:v>Кабельные линии
10 кВ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380</c:v>
                </c:pt>
                <c:pt idx="1">
                  <c:v>111</c:v>
                </c:pt>
                <c:pt idx="2">
                  <c:v>500</c:v>
                </c:pt>
                <c:pt idx="3">
                  <c:v>493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72926848"/>
        <c:axId val="172928384"/>
      </c:barChart>
      <c:catAx>
        <c:axId val="17292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928384"/>
        <c:crosses val="autoZero"/>
        <c:auto val="1"/>
        <c:lblAlgn val="ctr"/>
        <c:lblOffset val="100"/>
        <c:noMultiLvlLbl val="0"/>
      </c:catAx>
      <c:valAx>
        <c:axId val="172928384"/>
        <c:scaling>
          <c:orientation val="minMax"/>
          <c:max val="500"/>
        </c:scaling>
        <c:delete val="1"/>
        <c:axPos val="l"/>
        <c:numFmt formatCode="General" sourceLinked="1"/>
        <c:majorTickMark val="out"/>
        <c:minorTickMark val="none"/>
        <c:tickLblPos val="nextTo"/>
        <c:crossAx val="17292684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22339027595269381"/>
          <c:y val="0.91976516634050876"/>
          <c:w val="0.46386333771353483"/>
          <c:h val="7.4363992172211332E-2"/>
        </c:manualLayout>
      </c:layout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73</c:v>
                </c:pt>
                <c:pt idx="1">
                  <c:v>73.3</c:v>
                </c:pt>
                <c:pt idx="2">
                  <c:v>73.599999999999994</c:v>
                </c:pt>
                <c:pt idx="3">
                  <c:v>74.400000000000006</c:v>
                </c:pt>
                <c:pt idx="4">
                  <c:v>75.2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2449152"/>
        <c:axId val="172483712"/>
      </c:barChart>
      <c:catAx>
        <c:axId val="17244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83712"/>
        <c:crosses val="autoZero"/>
        <c:auto val="1"/>
        <c:lblAlgn val="ctr"/>
        <c:lblOffset val="100"/>
        <c:noMultiLvlLbl val="0"/>
      </c:catAx>
      <c:valAx>
        <c:axId val="17248371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44915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ИНТЕРАКТИВНЫЕ СЕРВИСЫ ОФИЦИАЛЬНОГО ПОРТАЛА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2.8586639820693108E-2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81720755889945E-3"/>
          <c:y val="5.9962256828261012E-3"/>
          <c:w val="0.98406813417282302"/>
          <c:h val="0.78772322366535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Лист1!$P$27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Лист1!$O$28:$O$30</c:f>
              <c:strCache>
                <c:ptCount val="3"/>
                <c:pt idx="0">
                  <c:v>УЛУЧШИМ НАШ ГОРОД</c:v>
                </c:pt>
                <c:pt idx="1">
                  <c:v>СМС ИНФОРМИРОВАНИЕ</c:v>
                </c:pt>
                <c:pt idx="2">
                  <c:v>ПРОВЕРКА ОЧЕРЕДИ В ДЕТСКИЙ САД</c:v>
                </c:pt>
              </c:strCache>
            </c:strRef>
          </c:cat>
          <c:val>
            <c:numRef>
              <c:f>Лист1!$P$28:$P$30</c:f>
              <c:numCache>
                <c:formatCode>General</c:formatCode>
                <c:ptCount val="3"/>
                <c:pt idx="0">
                  <c:v>800</c:v>
                </c:pt>
                <c:pt idx="1">
                  <c:v>2308</c:v>
                </c:pt>
                <c:pt idx="2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Лист1!$Q$27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Лист1!$O$28:$O$30</c:f>
              <c:strCache>
                <c:ptCount val="3"/>
                <c:pt idx="0">
                  <c:v>УЛУЧШИМ НАШ ГОРОД</c:v>
                </c:pt>
                <c:pt idx="1">
                  <c:v>СМС ИНФОРМИРОВАНИЕ</c:v>
                </c:pt>
                <c:pt idx="2">
                  <c:v>ПРОВЕРКА ОЧЕРЕДИ В ДЕТСКИЙ САД</c:v>
                </c:pt>
              </c:strCache>
            </c:strRef>
          </c:cat>
          <c:val>
            <c:numRef>
              <c:f>Лист1!$Q$28:$Q$30</c:f>
              <c:numCache>
                <c:formatCode>General</c:formatCode>
                <c:ptCount val="3"/>
                <c:pt idx="0">
                  <c:v>600</c:v>
                </c:pt>
                <c:pt idx="1">
                  <c:v>2964</c:v>
                </c:pt>
                <c:pt idx="2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Лист1!$R$27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Лист1!$O$28:$O$30</c:f>
              <c:strCache>
                <c:ptCount val="3"/>
                <c:pt idx="0">
                  <c:v>УЛУЧШИМ НАШ ГОРОД</c:v>
                </c:pt>
                <c:pt idx="1">
                  <c:v>СМС ИНФОРМИРОВАНИЕ</c:v>
                </c:pt>
                <c:pt idx="2">
                  <c:v>ПРОВЕРКА ОЧЕРЕДИ В ДЕТСКИЙ САД</c:v>
                </c:pt>
              </c:strCache>
            </c:strRef>
          </c:cat>
          <c:val>
            <c:numRef>
              <c:f>Лист1!$R$28:$R$30</c:f>
              <c:numCache>
                <c:formatCode>General</c:formatCode>
                <c:ptCount val="3"/>
                <c:pt idx="0">
                  <c:v>1000</c:v>
                </c:pt>
                <c:pt idx="1">
                  <c:v>3566</c:v>
                </c:pt>
                <c:pt idx="2">
                  <c:v>20248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72502016"/>
        <c:axId val="172532480"/>
      </c:barChart>
      <c:catAx>
        <c:axId val="17250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532480"/>
        <c:crosses val="autoZero"/>
        <c:auto val="1"/>
        <c:lblAlgn val="ctr"/>
        <c:lblOffset val="100"/>
        <c:noMultiLvlLbl val="0"/>
      </c:catAx>
      <c:valAx>
        <c:axId val="172532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250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649532567478"/>
          <c:y val="0.91261519393409141"/>
          <c:w val="0.25288446687805655"/>
          <c:h val="8.73848392167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kern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Динамика роста количества информационных материалов</a:t>
            </a:r>
          </a:p>
        </c:rich>
      </c:tx>
      <c:layout>
        <c:manualLayout>
          <c:xMode val="edge"/>
          <c:yMode val="edge"/>
          <c:x val="0.16858796360702263"/>
          <c:y val="1.587298520200312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официальные пресс-релизы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898</c:v>
                </c:pt>
                <c:pt idx="1">
                  <c:v>978</c:v>
                </c:pt>
                <c:pt idx="2">
                  <c:v>1554</c:v>
                </c:pt>
                <c:pt idx="3">
                  <c:v>1730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материалы в городских СМИ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1044</c:v>
                </c:pt>
                <c:pt idx="1">
                  <c:v>1200</c:v>
                </c:pt>
                <c:pt idx="2">
                  <c:v>1649</c:v>
                </c:pt>
                <c:pt idx="3">
                  <c:v>1820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материалы в иных СМИ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152</c:v>
                </c:pt>
                <c:pt idx="1">
                  <c:v>418</c:v>
                </c:pt>
                <c:pt idx="2">
                  <c:v>359</c:v>
                </c:pt>
                <c:pt idx="3">
                  <c:v>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shape val="box"/>
        <c:axId val="173142016"/>
        <c:axId val="173143552"/>
        <c:axId val="0"/>
      </c:bar3DChart>
      <c:catAx>
        <c:axId val="17314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3143552"/>
        <c:crosses val="autoZero"/>
        <c:auto val="1"/>
        <c:lblAlgn val="ctr"/>
        <c:lblOffset val="100"/>
        <c:noMultiLvlLbl val="0"/>
      </c:catAx>
      <c:valAx>
        <c:axId val="173143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3142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8158640226628892E-2"/>
          <c:y val="0.20935960591133004"/>
          <c:w val="0.90226628895184147"/>
          <c:h val="6.4039408866995079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26</c:v>
                </c:pt>
                <c:pt idx="3">
                  <c:v>31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2791680"/>
        <c:axId val="172793216"/>
      </c:barChart>
      <c:catAx>
        <c:axId val="17279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93216"/>
        <c:crosses val="autoZero"/>
        <c:auto val="1"/>
        <c:lblAlgn val="ctr"/>
        <c:lblOffset val="100"/>
        <c:noMultiLvlLbl val="0"/>
      </c:catAx>
      <c:valAx>
        <c:axId val="172793216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9168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 i="0" kern="0" baseline="0">
                <a:latin typeface="Times New Roman" panose="02020603050405020304" pitchFamily="18" charset="0"/>
              </a:rPr>
              <a:t>Количество граждан, обученных навыкам использования информационных технологий, чел.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'[Копия Диаграммы.xlsx]Лист1'!$L$2</c:f>
              <c:strCache>
                <c:ptCount val="1"/>
                <c:pt idx="0">
                  <c:v>Количество граждан, обученных навыкам использования информационных технологий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'[Копия Диаграммы.xlsx]Лист1'!$M$1:$O$1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'[Копия Диаграммы.xlsx]Лист1'!$M$2:$O$2</c:f>
              <c:numCache>
                <c:formatCode>General</c:formatCode>
                <c:ptCount val="3"/>
                <c:pt idx="0">
                  <c:v>240</c:v>
                </c:pt>
                <c:pt idx="1">
                  <c:v>250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15392"/>
        <c:axId val="172552960"/>
      </c:barChart>
      <c:catAx>
        <c:axId val="1123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cmpd="sng"/>
        </c:spPr>
        <c:txPr>
          <a:bodyPr/>
          <a:lstStyle/>
          <a:p>
            <a:pPr>
              <a:defRPr b="1" i="0"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172552960"/>
        <c:crosses val="autoZero"/>
        <c:auto val="1"/>
        <c:lblAlgn val="ctr"/>
        <c:lblOffset val="100"/>
        <c:noMultiLvlLbl val="0"/>
      </c:catAx>
      <c:valAx>
        <c:axId val="1725529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23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3655909972752524E-2"/>
          <c:y val="3.8647316266176818E-2"/>
          <c:w val="0.92688173281149233"/>
          <c:h val="0.78742731150788159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ln>
                <a:beve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'[Копия Диаграммы.xlsx]Лист1'!$D$25:$G$25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'[Копия Диаграммы.xlsx]Лист1'!$D$26:$G$26,'[Копия Диаграммы.xlsx]Лист1'!$I$26:$L$26</c:f>
              <c:numCache>
                <c:formatCode>General</c:formatCode>
                <c:ptCount val="8"/>
                <c:pt idx="0">
                  <c:v>110</c:v>
                </c:pt>
                <c:pt idx="1">
                  <c:v>1187</c:v>
                </c:pt>
                <c:pt idx="2">
                  <c:v>4174</c:v>
                </c:pt>
                <c:pt idx="3">
                  <c:v>6821</c:v>
                </c:pt>
                <c:pt idx="4">
                  <c:v>12</c:v>
                </c:pt>
                <c:pt idx="5">
                  <c:v>1503</c:v>
                </c:pt>
                <c:pt idx="6">
                  <c:v>1888</c:v>
                </c:pt>
                <c:pt idx="7">
                  <c:v>1960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84032"/>
        <c:axId val="172958848"/>
      </c:barChart>
      <c:catAx>
        <c:axId val="1730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crossAx val="172958848"/>
        <c:crosses val="autoZero"/>
        <c:auto val="1"/>
        <c:lblAlgn val="ctr"/>
        <c:lblOffset val="100"/>
        <c:noMultiLvlLbl val="0"/>
      </c:catAx>
      <c:valAx>
        <c:axId val="17295884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3084032"/>
        <c:crosses val="autoZero"/>
        <c:crossBetween val="between"/>
      </c:valAx>
      <c:spPr>
        <a:noFill/>
      </c:spPr>
    </c:plotArea>
    <c:legend>
      <c:legendPos val="b"/>
      <c:legendEntry>
        <c:idx val="0"/>
        <c:txPr>
          <a:bodyPr/>
          <a:lstStyle/>
          <a:p>
            <a:pPr rtl="0">
              <a:defRPr sz="1200" b="1" i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200" b="1" i="0" baseline="0"/>
            </a:pPr>
            <a:endParaRPr lang="ru-RU"/>
          </a:p>
        </c:txPr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0330486778344464"/>
          <c:y val="0.91195787140891382"/>
          <c:w val="0.72909986807215843"/>
          <c:h val="6.7091892824343941E-2"/>
        </c:manualLayout>
      </c:layout>
      <c:overlay val="0"/>
    </c:legend>
    <c:plotVisOnly val="1"/>
    <c:dispBlanksAs val="gap"/>
    <c:showDLblsOverMax val="0"/>
  </c:chart>
  <c:spPr>
    <a:ln w="9525"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Объем</a:t>
            </a:r>
            <a:r>
              <a:rPr lang="ru-RU" sz="1400" baseline="0">
                <a:solidFill>
                  <a:sysClr val="windowText" lastClr="000000"/>
                </a:solidFill>
              </a:rPr>
              <a:t> промышленной продукции, млн.руб.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413672397817368E-2"/>
                  <c:y val="-3.4322979234597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354576340986344E-2"/>
                  <c:y val="-3.4322979234598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354576340986308E-2"/>
                  <c:y val="-6.29247350181870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363842273242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512820512820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1595.6</c:v>
                </c:pt>
                <c:pt idx="1">
                  <c:v>1308.4000000000001</c:v>
                </c:pt>
                <c:pt idx="2">
                  <c:v>1913.5</c:v>
                </c:pt>
                <c:pt idx="3">
                  <c:v>2184.6</c:v>
                </c:pt>
                <c:pt idx="4">
                  <c:v>501.1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354576340986289E-2"/>
                  <c:y val="-3.1462367509093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363842273241294E-3"/>
                  <c:y val="-1.57311837545467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3545763409863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8192113662102E-3"/>
                  <c:y val="-3.1462367509093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4465.8999999999996</c:v>
                </c:pt>
                <c:pt idx="1">
                  <c:v>6873</c:v>
                </c:pt>
                <c:pt idx="2">
                  <c:v>7745.1</c:v>
                </c:pt>
                <c:pt idx="3">
                  <c:v>8090.7</c:v>
                </c:pt>
                <c:pt idx="4">
                  <c:v>8497.9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Рыболовство, рыбоводство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0311164950535029E-2"/>
                  <c:y val="-3.4324333812356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5988289925297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295480284155256E-2"/>
                  <c:y val="-3.4322979234597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413672397817358E-2"/>
                  <c:y val="-6.86459584691963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2564102564102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12.3</c:v>
                </c:pt>
                <c:pt idx="1">
                  <c:v>18.100000000000001</c:v>
                </c:pt>
                <c:pt idx="2">
                  <c:v>24.6</c:v>
                </c:pt>
                <c:pt idx="3">
                  <c:v>86.7</c:v>
                </c:pt>
                <c:pt idx="4">
                  <c:v>96.5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Предоставление прочих услуг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583080961033718E-2"/>
                  <c:y val="1.6278861714035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77892186553602E-2"/>
                  <c:y val="3.5955051090145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670139309509464E-2"/>
                  <c:y val="-2.9429350872603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90995356349687E-2"/>
                  <c:y val="6.52853132392792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1025641025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Лист1!$E$2:$E$6</c:f>
              <c:numCache>
                <c:formatCode>0.0</c:formatCode>
                <c:ptCount val="5"/>
                <c:pt idx="0">
                  <c:v>36.5</c:v>
                </c:pt>
                <c:pt idx="1">
                  <c:v>41.1</c:v>
                </c:pt>
                <c:pt idx="2">
                  <c:v>42</c:v>
                </c:pt>
                <c:pt idx="3">
                  <c:v>33.700000000000003</c:v>
                </c:pt>
                <c:pt idx="4">
                  <c:v>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878528"/>
        <c:axId val="111880064"/>
        <c:axId val="0"/>
      </c:bar3DChart>
      <c:catAx>
        <c:axId val="11187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80064"/>
        <c:crosses val="autoZero"/>
        <c:auto val="1"/>
        <c:lblAlgn val="ctr"/>
        <c:lblOffset val="100"/>
        <c:noMultiLvlLbl val="0"/>
      </c:catAx>
      <c:valAx>
        <c:axId val="1118800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1878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886582359023301"/>
          <c:y val="0.12033149399632129"/>
          <c:w val="0.21171764893024733"/>
          <c:h val="0.8181933163866327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3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3">
                <a:solidFill>
                  <a:sysClr val="windowText" lastClr="000000"/>
                </a:solidFill>
              </a:rPr>
              <a:t>Структура инвестиций в основной капитал, %</a:t>
            </a:r>
          </a:p>
        </c:rich>
      </c:tx>
      <c:overlay val="0"/>
      <c:spPr>
        <a:noFill/>
        <a:ln w="254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3992588377798182"/>
          <c:w val="0.94907407407407407"/>
          <c:h val="0.6315986690528128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Строительство зданий и сооружений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5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0.55800000000000005</c:v>
                </c:pt>
                <c:pt idx="1">
                  <c:v>0.51600000000000001</c:v>
                </c:pt>
                <c:pt idx="2">
                  <c:v>0.434</c:v>
                </c:pt>
                <c:pt idx="3">
                  <c:v>0.38900000000000001</c:v>
                </c:pt>
                <c:pt idx="4">
                  <c:v>0.38500000000000001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 жилья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5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0.20100000000000001</c:v>
                </c:pt>
                <c:pt idx="1">
                  <c:v>0.28799999999999998</c:v>
                </c:pt>
                <c:pt idx="2">
                  <c:v>0.219</c:v>
                </c:pt>
                <c:pt idx="3">
                  <c:v>0.247</c:v>
                </c:pt>
                <c:pt idx="4">
                  <c:v>0.314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Приобретение машин и оборудования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5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0.23599999999999999</c:v>
                </c:pt>
                <c:pt idx="1">
                  <c:v>0.19500000000000001</c:v>
                </c:pt>
                <c:pt idx="2">
                  <c:v>0.317</c:v>
                </c:pt>
                <c:pt idx="3">
                  <c:v>0.307</c:v>
                </c:pt>
                <c:pt idx="4">
                  <c:v>0.20499999999999999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инвестиции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0420665713702267E-3"/>
                  <c:y val="-1.69233372821120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20665713702267E-3"/>
                  <c:y val="-2.70773396513792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841331427404533E-3"/>
                  <c:y val="-3.04620071078016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40006769334912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Лист1!$E$2:$E$6</c:f>
              <c:numCache>
                <c:formatCode>0.0%</c:formatCode>
                <c:ptCount val="5"/>
                <c:pt idx="0">
                  <c:v>5.0000000000000001E-3</c:v>
                </c:pt>
                <c:pt idx="1">
                  <c:v>1E-3</c:v>
                </c:pt>
                <c:pt idx="2">
                  <c:v>0.03</c:v>
                </c:pt>
                <c:pt idx="3">
                  <c:v>5.7000000000000002E-2</c:v>
                </c:pt>
                <c:pt idx="4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912832"/>
        <c:axId val="111914368"/>
      </c:barChart>
      <c:catAx>
        <c:axId val="1119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14368"/>
        <c:crosses val="autoZero"/>
        <c:auto val="1"/>
        <c:lblAlgn val="ctr"/>
        <c:lblOffset val="100"/>
        <c:noMultiLvlLbl val="0"/>
      </c:catAx>
      <c:valAx>
        <c:axId val="1119143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1912832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17385943279901359"/>
          <c:y val="0.85354691075514877"/>
          <c:w val="0.65104808877928477"/>
          <c:h val="0.14568946623607532"/>
        </c:manualLayout>
      </c:layout>
      <c:overlay val="0"/>
      <c:spPr>
        <a:noFill/>
        <a:ln w="2545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3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2">
                <a:solidFill>
                  <a:sysClr val="windowText" lastClr="000000"/>
                </a:solidFill>
              </a:rPr>
              <a:t>Показатели уровня жизни</a:t>
            </a:r>
            <a:r>
              <a:rPr lang="ru-RU" sz="1402" baseline="0">
                <a:solidFill>
                  <a:sysClr val="windowText" lastClr="000000"/>
                </a:solidFill>
              </a:rPr>
              <a:t> населения, руб.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44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зарплата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50628.6</c:v>
                </c:pt>
                <c:pt idx="1">
                  <c:v>56602.2</c:v>
                </c:pt>
                <c:pt idx="2">
                  <c:v>62600.5</c:v>
                </c:pt>
                <c:pt idx="3">
                  <c:v>66765</c:v>
                </c:pt>
                <c:pt idx="4">
                  <c:v>67300.399999999994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Среднемесячный размер пенсии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13971</c:v>
                </c:pt>
                <c:pt idx="1">
                  <c:v>14894.7</c:v>
                </c:pt>
                <c:pt idx="2">
                  <c:v>16372.8</c:v>
                </c:pt>
                <c:pt idx="3">
                  <c:v>17729.2</c:v>
                </c:pt>
                <c:pt idx="4">
                  <c:v>19605.900000000001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Среднедушевой доход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40156.6</c:v>
                </c:pt>
                <c:pt idx="1">
                  <c:v>42778</c:v>
                </c:pt>
                <c:pt idx="2">
                  <c:v>45098</c:v>
                </c:pt>
                <c:pt idx="3">
                  <c:v>46811.7</c:v>
                </c:pt>
                <c:pt idx="4">
                  <c:v>47590.400000000001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351488"/>
        <c:axId val="112361472"/>
      </c:barChart>
      <c:catAx>
        <c:axId val="11235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61472"/>
        <c:crosses val="autoZero"/>
        <c:auto val="1"/>
        <c:lblAlgn val="ctr"/>
        <c:lblOffset val="100"/>
        <c:noMultiLvlLbl val="0"/>
      </c:catAx>
      <c:valAx>
        <c:axId val="1123614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2351488"/>
        <c:crosses val="autoZero"/>
        <c:crossBetween val="between"/>
      </c:valAx>
      <c:spPr>
        <a:noFill/>
        <a:ln w="25445">
          <a:noFill/>
        </a:ln>
      </c:spPr>
    </c:plotArea>
    <c:legend>
      <c:legendPos val="r"/>
      <c:layout>
        <c:manualLayout>
          <c:xMode val="edge"/>
          <c:yMode val="edge"/>
          <c:x val="0.7310551558752999"/>
          <c:y val="0.10023951924042283"/>
          <c:w val="0.24025005965163446"/>
          <c:h val="0.85968762101458629"/>
        </c:manualLayout>
      </c:layout>
      <c:overlay val="0"/>
      <c:spPr>
        <a:noFill/>
        <a:ln w="2544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6221400508435406E-3"/>
                  <c:y val="-1.0590415673815209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13144.4</c:v>
                </c:pt>
                <c:pt idx="1">
                  <c:v>14228.9</c:v>
                </c:pt>
                <c:pt idx="2">
                  <c:v>15989.9</c:v>
                </c:pt>
                <c:pt idx="3">
                  <c:v>16896.8</c:v>
                </c:pt>
                <c:pt idx="4">
                  <c:v>17883.5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48992"/>
        <c:axId val="172331008"/>
      </c:barChart>
      <c:catAx>
        <c:axId val="17214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331008"/>
        <c:crosses val="autoZero"/>
        <c:auto val="1"/>
        <c:lblAlgn val="ctr"/>
        <c:lblOffset val="100"/>
        <c:noMultiLvlLbl val="0"/>
      </c:catAx>
      <c:valAx>
        <c:axId val="1723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48992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40000"/>
              <a:lumOff val="6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167.7</c:v>
                </c:pt>
                <c:pt idx="1">
                  <c:v>171.9</c:v>
                </c:pt>
                <c:pt idx="2">
                  <c:v>181.7</c:v>
                </c:pt>
                <c:pt idx="3">
                  <c:v>183.2</c:v>
                </c:pt>
                <c:pt idx="4">
                  <c:v>189.4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85504"/>
        <c:axId val="112487040"/>
      </c:barChart>
      <c:catAx>
        <c:axId val="11248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487040"/>
        <c:crosses val="autoZero"/>
        <c:auto val="1"/>
        <c:lblAlgn val="ctr"/>
        <c:lblOffset val="100"/>
        <c:noMultiLvlLbl val="0"/>
      </c:catAx>
      <c:valAx>
        <c:axId val="11248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85504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60000"/>
              <a:lumOff val="4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1702.3</c:v>
                </c:pt>
                <c:pt idx="1">
                  <c:v>1743.3</c:v>
                </c:pt>
                <c:pt idx="2">
                  <c:v>2174.1</c:v>
                </c:pt>
                <c:pt idx="3">
                  <c:v>2480.1</c:v>
                </c:pt>
                <c:pt idx="4">
                  <c:v>2655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08928"/>
        <c:axId val="112510464"/>
      </c:barChart>
      <c:catAx>
        <c:axId val="11250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510464"/>
        <c:crosses val="autoZero"/>
        <c:auto val="1"/>
        <c:lblAlgn val="ctr"/>
        <c:lblOffset val="100"/>
        <c:noMultiLvlLbl val="0"/>
      </c:catAx>
      <c:valAx>
        <c:axId val="11251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08928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60000"/>
              <a:lumOff val="4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21.8</c:v>
                </c:pt>
                <c:pt idx="1">
                  <c:v>22.3</c:v>
                </c:pt>
                <c:pt idx="2">
                  <c:v>24.7</c:v>
                </c:pt>
                <c:pt idx="3">
                  <c:v>26.9</c:v>
                </c:pt>
                <c:pt idx="4">
                  <c:v>28.1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54272"/>
        <c:axId val="172167552"/>
      </c:barChart>
      <c:catAx>
        <c:axId val="11245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167552"/>
        <c:crosses val="autoZero"/>
        <c:auto val="1"/>
        <c:lblAlgn val="ctr"/>
        <c:lblOffset val="100"/>
        <c:noMultiLvlLbl val="0"/>
      </c:catAx>
      <c:valAx>
        <c:axId val="1721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54272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60000"/>
              <a:lumOff val="4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239.7</c:v>
                </c:pt>
                <c:pt idx="1">
                  <c:v>316.8</c:v>
                </c:pt>
                <c:pt idx="2">
                  <c:v>358.6</c:v>
                </c:pt>
                <c:pt idx="3">
                  <c:v>387.1</c:v>
                </c:pt>
                <c:pt idx="4">
                  <c:v>412.3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97376"/>
        <c:axId val="172198912"/>
      </c:barChart>
      <c:catAx>
        <c:axId val="1721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198912"/>
        <c:crosses val="autoZero"/>
        <c:auto val="1"/>
        <c:lblAlgn val="ctr"/>
        <c:lblOffset val="100"/>
        <c:noMultiLvlLbl val="0"/>
      </c:catAx>
      <c:valAx>
        <c:axId val="17219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97376"/>
        <c:crosses val="autoZero"/>
        <c:crossBetween val="between"/>
      </c:valAx>
      <c:spPr>
        <a:effectLst>
          <a:outerShdw blurRad="50800" dist="50800" dir="5400000" algn="ctr" rotWithShape="0">
            <a:schemeClr val="tx2">
              <a:lumMod val="60000"/>
              <a:lumOff val="40000"/>
            </a:scheme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0.15559</cdr:x>
      <cdr:y>0.83755</cdr:y>
    </cdr:from>
    <cdr:to>
      <cdr:x>0.32343</cdr:x>
      <cdr:y>0.9281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7725" y="2995616"/>
          <a:ext cx="9144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МВ</a:t>
          </a:r>
          <a:r>
            <a:rPr lang="ru-RU" sz="1200" b="1" baseline="0"/>
            <a:t> ЗАПРОСЫ</a:t>
          </a:r>
          <a:endParaRPr lang="ru-RU" sz="1200" b="1"/>
        </a:p>
      </cdr:txBody>
    </cdr:sp>
  </cdr:relSizeAnchor>
  <cdr:relSizeAnchor xmlns:cdr="http://schemas.openxmlformats.org/drawingml/2006/chartDrawing">
    <cdr:from>
      <cdr:x>0.64219</cdr:x>
      <cdr:y>0.82912</cdr:y>
    </cdr:from>
    <cdr:to>
      <cdr:x>0.81002</cdr:x>
      <cdr:y>0.91966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498850" y="2965450"/>
          <a:ext cx="9144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/>
            <a:t>МВ</a:t>
          </a:r>
          <a:r>
            <a:rPr lang="ru-RU" sz="1200" b="1" baseline="0"/>
            <a:t> ОТВЕТЫ</a:t>
          </a:r>
        </a:p>
      </cdr:txBody>
    </cdr:sp>
  </cdr:relSizeAnchor>
  <cdr:relSizeAnchor xmlns:cdr="http://schemas.openxmlformats.org/drawingml/2006/chartDrawing">
    <cdr:from>
      <cdr:x>0.13695</cdr:x>
      <cdr:y>0.00089</cdr:y>
    </cdr:from>
    <cdr:to>
      <cdr:x>0.30478</cdr:x>
      <cdr:y>0.09143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46125" y="3175"/>
          <a:ext cx="9144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/>
            <a:t>МЕЖВЕДОМСТВЕННОЕ ЭЛЕКТРОННОЕ ВЗАИМОДЕЙСТВИЕ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8D0B-4F03-4D85-9810-6C5F36B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56</Pages>
  <Words>16564</Words>
  <Characters>94415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Кашина</dc:creator>
  <cp:lastModifiedBy>Наталия Б. Симончук</cp:lastModifiedBy>
  <cp:revision>28</cp:revision>
  <cp:lastPrinted>2016-05-25T10:50:00Z</cp:lastPrinted>
  <dcterms:created xsi:type="dcterms:W3CDTF">2016-05-30T14:07:00Z</dcterms:created>
  <dcterms:modified xsi:type="dcterms:W3CDTF">2016-09-28T09:21:00Z</dcterms:modified>
</cp:coreProperties>
</file>